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438"/>
        <w:gridCol w:w="1438"/>
        <w:gridCol w:w="1437"/>
        <w:gridCol w:w="1431"/>
        <w:gridCol w:w="1438"/>
      </w:tblGrid>
      <w:tr w:rsidR="00AC03FE" w14:paraId="5022DE31" w14:textId="77777777" w:rsidTr="25F30B63">
        <w:trPr>
          <w:trHeight w:val="3402"/>
          <w:jc w:val="center"/>
        </w:trPr>
        <w:tc>
          <w:tcPr>
            <w:tcW w:w="8900" w:type="dxa"/>
            <w:gridSpan w:val="6"/>
            <w:vAlign w:val="center"/>
          </w:tcPr>
          <w:p w14:paraId="42BC62B0" w14:textId="5FD72B70" w:rsidR="00AC03FE" w:rsidRDefault="00AC03FE" w:rsidP="00AC03FE">
            <w:pPr>
              <w:pStyle w:val="BodyText"/>
              <w:jc w:val="center"/>
            </w:pPr>
            <w:r w:rsidRPr="003279FA">
              <w:rPr>
                <w:noProof/>
                <w:color w:val="000000" w:themeColor="text1"/>
                <w:lang w:eastAsia="en-GB"/>
              </w:rPr>
              <w:drawing>
                <wp:inline distT="0" distB="0" distL="0" distR="0" wp14:anchorId="5CAA5FB9" wp14:editId="2D39A106">
                  <wp:extent cx="5346700" cy="13716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c_logo_white.png"/>
                          <pic:cNvPicPr/>
                        </pic:nvPicPr>
                        <pic:blipFill>
                          <a:blip r:embed="rId11">
                            <a:extLst>
                              <a:ext uri="{28A0092B-C50C-407E-A947-70E740481C1C}">
                                <a14:useLocalDpi xmlns:a14="http://schemas.microsoft.com/office/drawing/2010/main" val="0"/>
                              </a:ext>
                            </a:extLst>
                          </a:blip>
                          <a:stretch>
                            <a:fillRect/>
                          </a:stretch>
                        </pic:blipFill>
                        <pic:spPr>
                          <a:xfrm>
                            <a:off x="0" y="0"/>
                            <a:ext cx="5346700" cy="1371600"/>
                          </a:xfrm>
                          <a:prstGeom prst="rect">
                            <a:avLst/>
                          </a:prstGeom>
                        </pic:spPr>
                      </pic:pic>
                    </a:graphicData>
                  </a:graphic>
                </wp:inline>
              </w:drawing>
            </w:r>
          </w:p>
        </w:tc>
      </w:tr>
      <w:tr w:rsidR="00AC03FE" w14:paraId="3C3B3DEC" w14:textId="77777777" w:rsidTr="25F30B63">
        <w:trPr>
          <w:trHeight w:val="3402"/>
          <w:jc w:val="center"/>
        </w:trPr>
        <w:tc>
          <w:tcPr>
            <w:tcW w:w="8900" w:type="dxa"/>
            <w:gridSpan w:val="6"/>
            <w:vAlign w:val="center"/>
          </w:tcPr>
          <w:p w14:paraId="2B2AA076" w14:textId="77777777" w:rsidR="00572A93" w:rsidRDefault="1D10C730" w:rsidP="2A4772B8">
            <w:pPr>
              <w:pStyle w:val="BodyText"/>
              <w:spacing w:line="276" w:lineRule="auto"/>
              <w:jc w:val="center"/>
            </w:pPr>
            <w:r>
              <w:t>GENOMICC STUDY PROTOCOL v</w:t>
            </w:r>
            <w:r w:rsidR="274AAF83">
              <w:t>5</w:t>
            </w:r>
            <w:r w:rsidR="6F4A8E26">
              <w:t xml:space="preserve"> </w:t>
            </w:r>
          </w:p>
          <w:p w14:paraId="64B2D8FD" w14:textId="585F4307" w:rsidR="00AC03FE" w:rsidRDefault="00C94CA8" w:rsidP="2A4772B8">
            <w:pPr>
              <w:pStyle w:val="BodyText"/>
              <w:spacing w:line="276" w:lineRule="auto"/>
              <w:jc w:val="center"/>
            </w:pPr>
            <w:r>
              <w:t>23</w:t>
            </w:r>
            <w:r w:rsidR="0076437C">
              <w:t xml:space="preserve"> October</w:t>
            </w:r>
            <w:r>
              <w:t xml:space="preserve"> 2024</w:t>
            </w:r>
          </w:p>
        </w:tc>
      </w:tr>
      <w:tr w:rsidR="00AC03FE" w14:paraId="57705C8A" w14:textId="77777777" w:rsidTr="25F30B63">
        <w:trPr>
          <w:trHeight w:val="2268"/>
          <w:jc w:val="center"/>
        </w:trPr>
        <w:tc>
          <w:tcPr>
            <w:tcW w:w="8900" w:type="dxa"/>
            <w:gridSpan w:val="6"/>
          </w:tcPr>
          <w:p w14:paraId="7D76F3B5" w14:textId="610D378B" w:rsidR="00AC03FE" w:rsidRDefault="00AC03FE" w:rsidP="00AC03FE">
            <w:pPr>
              <w:pStyle w:val="BodyText"/>
              <w:jc w:val="center"/>
            </w:pPr>
            <w:r>
              <w:t>Genetics of Mortality in Critical Care</w:t>
            </w:r>
          </w:p>
        </w:tc>
      </w:tr>
      <w:tr w:rsidR="00AC03FE" w14:paraId="55BD5570" w14:textId="77777777" w:rsidTr="25F30B63">
        <w:trPr>
          <w:jc w:val="center"/>
        </w:trPr>
        <w:tc>
          <w:tcPr>
            <w:tcW w:w="1710" w:type="dxa"/>
            <w:vAlign w:val="center"/>
          </w:tcPr>
          <w:p w14:paraId="2F3BAE16" w14:textId="0D844043" w:rsidR="00AC03FE" w:rsidRDefault="00AC03FE" w:rsidP="00AC03FE">
            <w:pPr>
              <w:pStyle w:val="BodyText"/>
              <w:jc w:val="center"/>
            </w:pPr>
            <w:r w:rsidRPr="003279FA">
              <w:rPr>
                <w:rStyle w:val="Emphasis"/>
                <w:noProof/>
                <w:color w:val="000000" w:themeColor="text1"/>
                <w:lang w:eastAsia="en-GB"/>
              </w:rPr>
              <w:drawing>
                <wp:inline distT="0" distB="0" distL="0" distR="0" wp14:anchorId="25A20EAD" wp14:editId="6BB310F0">
                  <wp:extent cx="954000" cy="543600"/>
                  <wp:effectExtent l="0" t="0" r="0" b="254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ARIC_Logo_PMS1925_White.png"/>
                          <pic:cNvPicPr/>
                        </pic:nvPicPr>
                        <pic:blipFill rotWithShape="1">
                          <a:blip r:embed="rId12" cstate="print">
                            <a:extLst>
                              <a:ext uri="{28A0092B-C50C-407E-A947-70E740481C1C}">
                                <a14:useLocalDpi xmlns:a14="http://schemas.microsoft.com/office/drawing/2010/main" val="0"/>
                              </a:ext>
                            </a:extLst>
                          </a:blip>
                          <a:srcRect t="12053" r="14658" b="23003"/>
                          <a:stretch/>
                        </pic:blipFill>
                        <pic:spPr bwMode="auto">
                          <a:xfrm>
                            <a:off x="0" y="0"/>
                            <a:ext cx="954000" cy="543600"/>
                          </a:xfrm>
                          <a:prstGeom prst="rect">
                            <a:avLst/>
                          </a:prstGeom>
                          <a:ln>
                            <a:noFill/>
                          </a:ln>
                          <a:extLst>
                            <a:ext uri="{53640926-AAD7-44D8-BBD7-CCE9431645EC}">
                              <a14:shadowObscured xmlns:a14="http://schemas.microsoft.com/office/drawing/2010/main"/>
                            </a:ext>
                          </a:extLst>
                        </pic:spPr>
                      </pic:pic>
                    </a:graphicData>
                  </a:graphic>
                </wp:inline>
              </w:drawing>
            </w:r>
          </w:p>
        </w:tc>
        <w:tc>
          <w:tcPr>
            <w:tcW w:w="2876" w:type="dxa"/>
            <w:gridSpan w:val="2"/>
            <w:vAlign w:val="center"/>
          </w:tcPr>
          <w:p w14:paraId="1F9251B8" w14:textId="358D2E5A" w:rsidR="00AC03FE" w:rsidRDefault="00AC03FE" w:rsidP="00AC03FE">
            <w:pPr>
              <w:pStyle w:val="BodyText"/>
              <w:jc w:val="center"/>
            </w:pPr>
            <w:r w:rsidRPr="003279FA">
              <w:rPr>
                <w:rStyle w:val="Emphasis"/>
                <w:noProof/>
                <w:color w:val="000000" w:themeColor="text1"/>
                <w:lang w:eastAsia="en-GB"/>
              </w:rPr>
              <w:drawing>
                <wp:inline distT="0" distB="0" distL="0" distR="0" wp14:anchorId="043806FE" wp14:editId="39A59F44">
                  <wp:extent cx="1364691" cy="449318"/>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ACT_Logo.jpg"/>
                          <pic:cNvPicPr/>
                        </pic:nvPicPr>
                        <pic:blipFill rotWithShape="1">
                          <a:blip r:embed="rId13" cstate="print">
                            <a:extLst>
                              <a:ext uri="{28A0092B-C50C-407E-A947-70E740481C1C}">
                                <a14:useLocalDpi xmlns:a14="http://schemas.microsoft.com/office/drawing/2010/main" val="0"/>
                              </a:ext>
                            </a:extLst>
                          </a:blip>
                          <a:srcRect b="50414"/>
                          <a:stretch/>
                        </pic:blipFill>
                        <pic:spPr bwMode="auto">
                          <a:xfrm>
                            <a:off x="0" y="0"/>
                            <a:ext cx="1392108" cy="458345"/>
                          </a:xfrm>
                          <a:prstGeom prst="rect">
                            <a:avLst/>
                          </a:prstGeom>
                          <a:ln>
                            <a:noFill/>
                          </a:ln>
                          <a:extLst>
                            <a:ext uri="{53640926-AAD7-44D8-BBD7-CCE9431645EC}">
                              <a14:shadowObscured xmlns:a14="http://schemas.microsoft.com/office/drawing/2010/main"/>
                            </a:ext>
                          </a:extLst>
                        </pic:spPr>
                      </pic:pic>
                    </a:graphicData>
                  </a:graphic>
                </wp:inline>
              </w:drawing>
            </w:r>
          </w:p>
        </w:tc>
        <w:tc>
          <w:tcPr>
            <w:tcW w:w="2876" w:type="dxa"/>
            <w:gridSpan w:val="2"/>
            <w:vAlign w:val="center"/>
          </w:tcPr>
          <w:p w14:paraId="4B55BD82" w14:textId="337069FC" w:rsidR="00AC03FE" w:rsidRDefault="00AC03FE" w:rsidP="00AC03FE">
            <w:pPr>
              <w:pStyle w:val="BodyText"/>
              <w:jc w:val="center"/>
            </w:pPr>
            <w:r w:rsidRPr="003279FA">
              <w:rPr>
                <w:rStyle w:val="Emphasis"/>
                <w:noProof/>
                <w:color w:val="000000" w:themeColor="text1"/>
                <w:lang w:eastAsia="en-GB"/>
              </w:rPr>
              <w:drawing>
                <wp:inline distT="0" distB="0" distL="0" distR="0" wp14:anchorId="7A9EB9D7" wp14:editId="030E0127">
                  <wp:extent cx="1186815" cy="450850"/>
                  <wp:effectExtent l="0" t="0" r="0" b="635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s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6815" cy="450850"/>
                          </a:xfrm>
                          <a:prstGeom prst="rect">
                            <a:avLst/>
                          </a:prstGeom>
                        </pic:spPr>
                      </pic:pic>
                    </a:graphicData>
                  </a:graphic>
                </wp:inline>
              </w:drawing>
            </w:r>
          </w:p>
        </w:tc>
        <w:tc>
          <w:tcPr>
            <w:tcW w:w="1438" w:type="dxa"/>
            <w:vAlign w:val="center"/>
          </w:tcPr>
          <w:p w14:paraId="7738B67A" w14:textId="623F89D0" w:rsidR="00AC03FE" w:rsidRDefault="00AC03FE" w:rsidP="00AC03FE">
            <w:pPr>
              <w:pStyle w:val="BodyText"/>
              <w:jc w:val="center"/>
            </w:pPr>
            <w:r w:rsidRPr="003279FA">
              <w:rPr>
                <w:rStyle w:val="Emphasis"/>
                <w:noProof/>
                <w:color w:val="000000" w:themeColor="text1"/>
                <w:lang w:eastAsia="en-GB"/>
              </w:rPr>
              <w:drawing>
                <wp:inline distT="0" distB="0" distL="0" distR="0" wp14:anchorId="3A96EC6B" wp14:editId="4F9DC537">
                  <wp:extent cx="615600" cy="810000"/>
                  <wp:effectExtent l="0" t="0" r="0" b="3175"/>
                  <wp:docPr id="7" name="Picture 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at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5600" cy="810000"/>
                          </a:xfrm>
                          <a:prstGeom prst="rect">
                            <a:avLst/>
                          </a:prstGeom>
                        </pic:spPr>
                      </pic:pic>
                    </a:graphicData>
                  </a:graphic>
                </wp:inline>
              </w:drawing>
            </w:r>
          </w:p>
        </w:tc>
      </w:tr>
      <w:tr w:rsidR="005B1260" w14:paraId="0FB102A7" w14:textId="77777777" w:rsidTr="25F30B63">
        <w:trPr>
          <w:trHeight w:val="1620"/>
          <w:jc w:val="center"/>
        </w:trPr>
        <w:tc>
          <w:tcPr>
            <w:tcW w:w="3148" w:type="dxa"/>
            <w:gridSpan w:val="2"/>
            <w:vAlign w:val="center"/>
          </w:tcPr>
          <w:p w14:paraId="08E1AD8E" w14:textId="2D33DD39" w:rsidR="005B1260" w:rsidRPr="003279FA" w:rsidRDefault="005B1260" w:rsidP="00AC03FE">
            <w:pPr>
              <w:pStyle w:val="BodyText"/>
              <w:jc w:val="center"/>
              <w:rPr>
                <w:rStyle w:val="Emphasis"/>
                <w:noProof/>
                <w:color w:val="000000" w:themeColor="text1"/>
                <w:lang w:eastAsia="en-GB"/>
              </w:rPr>
            </w:pPr>
            <w:r w:rsidRPr="003279FA">
              <w:rPr>
                <w:noProof/>
                <w:color w:val="000000" w:themeColor="text1"/>
                <w:lang w:eastAsia="en-GB"/>
              </w:rPr>
              <w:drawing>
                <wp:inline distT="0" distB="0" distL="0" distR="0" wp14:anchorId="39BAA7DA" wp14:editId="72A3BCBF">
                  <wp:extent cx="756000" cy="748800"/>
                  <wp:effectExtent l="0" t="0" r="6350" b="63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o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0" cy="748800"/>
                          </a:xfrm>
                          <a:prstGeom prst="rect">
                            <a:avLst/>
                          </a:prstGeom>
                        </pic:spPr>
                      </pic:pic>
                    </a:graphicData>
                  </a:graphic>
                </wp:inline>
              </w:drawing>
            </w:r>
          </w:p>
        </w:tc>
        <w:tc>
          <w:tcPr>
            <w:tcW w:w="2876" w:type="dxa"/>
            <w:gridSpan w:val="2"/>
            <w:vAlign w:val="center"/>
          </w:tcPr>
          <w:p w14:paraId="54CBE598" w14:textId="05AA9EEC" w:rsidR="005B1260" w:rsidRPr="003279FA" w:rsidRDefault="005B1260" w:rsidP="00AC03FE">
            <w:pPr>
              <w:pStyle w:val="BodyText"/>
              <w:jc w:val="center"/>
              <w:rPr>
                <w:rStyle w:val="Emphasis"/>
                <w:noProof/>
                <w:color w:val="000000" w:themeColor="text1"/>
                <w:lang w:eastAsia="en-GB"/>
              </w:rPr>
            </w:pPr>
            <w:r w:rsidRPr="003279FA">
              <w:rPr>
                <w:noProof/>
                <w:color w:val="000000" w:themeColor="text1"/>
                <w:lang w:eastAsia="en-GB"/>
              </w:rPr>
              <w:drawing>
                <wp:inline distT="0" distB="0" distL="0" distR="0" wp14:anchorId="7D9F6F7D" wp14:editId="0E8CEF90">
                  <wp:extent cx="568800" cy="568800"/>
                  <wp:effectExtent l="0" t="0" r="3175" b="3175"/>
                  <wp:docPr id="8" name="Picture 8" descr="A picture containing sitting, black, dark,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llcome-logo-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2876" w:type="dxa"/>
            <w:gridSpan w:val="2"/>
            <w:vAlign w:val="center"/>
          </w:tcPr>
          <w:p w14:paraId="0FBE3983" w14:textId="60773C6B" w:rsidR="005B1260" w:rsidRPr="003279FA" w:rsidRDefault="005B1260" w:rsidP="00AC03FE">
            <w:pPr>
              <w:pStyle w:val="BodyText"/>
              <w:jc w:val="center"/>
              <w:rPr>
                <w:rStyle w:val="Emphasis"/>
                <w:noProof/>
                <w:color w:val="000000" w:themeColor="text1"/>
                <w:lang w:eastAsia="en-GB"/>
              </w:rPr>
            </w:pPr>
            <w:r w:rsidRPr="003279FA">
              <w:rPr>
                <w:noProof/>
                <w:color w:val="000000" w:themeColor="text1"/>
                <w:lang w:eastAsia="en-GB"/>
              </w:rPr>
              <w:drawing>
                <wp:inline distT="0" distB="0" distL="0" distR="0" wp14:anchorId="5955ACFC" wp14:editId="4FCF2AAC">
                  <wp:extent cx="565200" cy="741600"/>
                  <wp:effectExtent l="0" t="0" r="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ri.png"/>
                          <pic:cNvPicPr/>
                        </pic:nvPicPr>
                        <pic:blipFill>
                          <a:blip r:embed="rId18">
                            <a:extLst>
                              <a:ext uri="{28A0092B-C50C-407E-A947-70E740481C1C}">
                                <a14:useLocalDpi xmlns:a14="http://schemas.microsoft.com/office/drawing/2010/main" val="0"/>
                              </a:ext>
                            </a:extLst>
                          </a:blip>
                          <a:stretch>
                            <a:fillRect/>
                          </a:stretch>
                        </pic:blipFill>
                        <pic:spPr>
                          <a:xfrm>
                            <a:off x="0" y="0"/>
                            <a:ext cx="565200" cy="741600"/>
                          </a:xfrm>
                          <a:prstGeom prst="rect">
                            <a:avLst/>
                          </a:prstGeom>
                        </pic:spPr>
                      </pic:pic>
                    </a:graphicData>
                  </a:graphic>
                </wp:inline>
              </w:drawing>
            </w:r>
          </w:p>
        </w:tc>
      </w:tr>
    </w:tbl>
    <w:p w14:paraId="648066FE" w14:textId="3572BB32" w:rsidR="00CC093C" w:rsidRPr="009E0B47" w:rsidRDefault="00CC093C" w:rsidP="009E0B47">
      <w:pPr>
        <w:pStyle w:val="BodyText"/>
        <w:rPr>
          <w:rStyle w:val="Emphasis"/>
          <w:caps w:val="0"/>
          <w:color w:val="auto"/>
          <w:spacing w:val="0"/>
        </w:rPr>
      </w:pPr>
      <w:r w:rsidRPr="009E0B47">
        <w:rPr>
          <w:rStyle w:val="Emphasis"/>
          <w:caps w:val="0"/>
          <w:color w:val="auto"/>
          <w:spacing w:val="0"/>
        </w:rPr>
        <w:br w:type="page"/>
      </w:r>
    </w:p>
    <w:bookmarkStart w:id="0" w:name="_Toc181256531" w:displacedByCustomXml="next"/>
    <w:bookmarkStart w:id="1" w:name="_Toc156378656" w:displacedByCustomXml="next"/>
    <w:sdt>
      <w:sdtPr>
        <w:rPr>
          <w:caps w:val="0"/>
          <w:color w:val="auto"/>
          <w:spacing w:val="0"/>
        </w:rPr>
        <w:id w:val="1163605913"/>
        <w:docPartObj>
          <w:docPartGallery w:val="Table of Contents"/>
          <w:docPartUnique/>
        </w:docPartObj>
      </w:sdtPr>
      <w:sdtEndPr/>
      <w:sdtContent>
        <w:p w14:paraId="2CFBF7BD" w14:textId="77777777" w:rsidR="008359C6" w:rsidRPr="003279FA" w:rsidRDefault="008359C6" w:rsidP="003B59DF">
          <w:pPr>
            <w:pStyle w:val="Heading1"/>
          </w:pPr>
          <w:r w:rsidRPr="7706D474">
            <w:t>Table of Contents</w:t>
          </w:r>
          <w:bookmarkEnd w:id="1"/>
          <w:bookmarkEnd w:id="0"/>
        </w:p>
        <w:p w14:paraId="253A7161" w14:textId="6A18D5A9" w:rsidR="0071278E" w:rsidRDefault="00E47C26">
          <w:pPr>
            <w:pStyle w:val="TOC1"/>
            <w:tabs>
              <w:tab w:val="right" w:leader="dot" w:pos="9350"/>
            </w:tabs>
            <w:rPr>
              <w:rFonts w:asciiTheme="minorHAnsi" w:hAnsiTheme="minorHAnsi" w:cstheme="minorBidi"/>
              <w:b w:val="0"/>
              <w:bCs w:val="0"/>
              <w:iCs w:val="0"/>
              <w:noProof/>
              <w:szCs w:val="24"/>
              <w:lang w:eastAsia="en-GB"/>
            </w:rPr>
          </w:pPr>
          <w:r>
            <w:rPr>
              <w:sz w:val="20"/>
            </w:rPr>
            <w:fldChar w:fldCharType="begin"/>
          </w:r>
          <w:r w:rsidR="008359C6">
            <w:instrText>TOC \o "1-3" \h \z \u</w:instrText>
          </w:r>
          <w:r>
            <w:rPr>
              <w:sz w:val="20"/>
            </w:rPr>
            <w:fldChar w:fldCharType="separate"/>
          </w:r>
          <w:hyperlink w:anchor="_Toc181256531" w:history="1">
            <w:r w:rsidR="0071278E" w:rsidRPr="00F10C40">
              <w:rPr>
                <w:rStyle w:val="Hyperlink"/>
                <w:noProof/>
              </w:rPr>
              <w:t>Table of Contents</w:t>
            </w:r>
            <w:r w:rsidR="0071278E">
              <w:rPr>
                <w:noProof/>
                <w:webHidden/>
              </w:rPr>
              <w:tab/>
            </w:r>
            <w:r w:rsidR="0071278E">
              <w:rPr>
                <w:noProof/>
                <w:webHidden/>
              </w:rPr>
              <w:fldChar w:fldCharType="begin"/>
            </w:r>
            <w:r w:rsidR="0071278E">
              <w:rPr>
                <w:noProof/>
                <w:webHidden/>
              </w:rPr>
              <w:instrText xml:space="preserve"> PAGEREF _Toc181256531 \h </w:instrText>
            </w:r>
            <w:r w:rsidR="0071278E">
              <w:rPr>
                <w:noProof/>
                <w:webHidden/>
              </w:rPr>
            </w:r>
            <w:r w:rsidR="0071278E">
              <w:rPr>
                <w:noProof/>
                <w:webHidden/>
              </w:rPr>
              <w:fldChar w:fldCharType="separate"/>
            </w:r>
            <w:r w:rsidR="0071278E">
              <w:rPr>
                <w:noProof/>
                <w:webHidden/>
              </w:rPr>
              <w:t>2</w:t>
            </w:r>
            <w:r w:rsidR="0071278E">
              <w:rPr>
                <w:noProof/>
                <w:webHidden/>
              </w:rPr>
              <w:fldChar w:fldCharType="end"/>
            </w:r>
          </w:hyperlink>
        </w:p>
        <w:p w14:paraId="4E1C65E3" w14:textId="661615C6"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32" w:history="1">
            <w:r w:rsidRPr="00F10C40">
              <w:rPr>
                <w:rStyle w:val="Hyperlink"/>
                <w:noProof/>
              </w:rPr>
              <w:t>Protocol authors and study staff</w:t>
            </w:r>
            <w:r>
              <w:rPr>
                <w:noProof/>
                <w:webHidden/>
              </w:rPr>
              <w:tab/>
            </w:r>
            <w:r>
              <w:rPr>
                <w:noProof/>
                <w:webHidden/>
              </w:rPr>
              <w:fldChar w:fldCharType="begin"/>
            </w:r>
            <w:r>
              <w:rPr>
                <w:noProof/>
                <w:webHidden/>
              </w:rPr>
              <w:instrText xml:space="preserve"> PAGEREF _Toc181256532 \h </w:instrText>
            </w:r>
            <w:r>
              <w:rPr>
                <w:noProof/>
                <w:webHidden/>
              </w:rPr>
            </w:r>
            <w:r>
              <w:rPr>
                <w:noProof/>
                <w:webHidden/>
              </w:rPr>
              <w:fldChar w:fldCharType="separate"/>
            </w:r>
            <w:r>
              <w:rPr>
                <w:noProof/>
                <w:webHidden/>
              </w:rPr>
              <w:t>5</w:t>
            </w:r>
            <w:r>
              <w:rPr>
                <w:noProof/>
                <w:webHidden/>
              </w:rPr>
              <w:fldChar w:fldCharType="end"/>
            </w:r>
          </w:hyperlink>
        </w:p>
        <w:p w14:paraId="327D9287" w14:textId="7F74F3ED"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33" w:history="1">
            <w:r w:rsidRPr="00F10C40">
              <w:rPr>
                <w:rStyle w:val="Hyperlink"/>
                <w:noProof/>
              </w:rPr>
              <w:t>Aims</w:t>
            </w:r>
            <w:r>
              <w:rPr>
                <w:noProof/>
                <w:webHidden/>
              </w:rPr>
              <w:tab/>
            </w:r>
            <w:r>
              <w:rPr>
                <w:noProof/>
                <w:webHidden/>
              </w:rPr>
              <w:fldChar w:fldCharType="begin"/>
            </w:r>
            <w:r>
              <w:rPr>
                <w:noProof/>
                <w:webHidden/>
              </w:rPr>
              <w:instrText xml:space="preserve"> PAGEREF _Toc181256533 \h </w:instrText>
            </w:r>
            <w:r>
              <w:rPr>
                <w:noProof/>
                <w:webHidden/>
              </w:rPr>
            </w:r>
            <w:r>
              <w:rPr>
                <w:noProof/>
                <w:webHidden/>
              </w:rPr>
              <w:fldChar w:fldCharType="separate"/>
            </w:r>
            <w:r>
              <w:rPr>
                <w:noProof/>
                <w:webHidden/>
              </w:rPr>
              <w:t>5</w:t>
            </w:r>
            <w:r>
              <w:rPr>
                <w:noProof/>
                <w:webHidden/>
              </w:rPr>
              <w:fldChar w:fldCharType="end"/>
            </w:r>
          </w:hyperlink>
        </w:p>
        <w:p w14:paraId="166B0F73" w14:textId="44F2A0DE"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34" w:history="1">
            <w:r w:rsidRPr="00F10C40">
              <w:rPr>
                <w:rStyle w:val="Hyperlink"/>
                <w:noProof/>
              </w:rPr>
              <w:t>Objectives</w:t>
            </w:r>
            <w:r>
              <w:rPr>
                <w:noProof/>
                <w:webHidden/>
              </w:rPr>
              <w:tab/>
            </w:r>
            <w:r>
              <w:rPr>
                <w:noProof/>
                <w:webHidden/>
              </w:rPr>
              <w:fldChar w:fldCharType="begin"/>
            </w:r>
            <w:r>
              <w:rPr>
                <w:noProof/>
                <w:webHidden/>
              </w:rPr>
              <w:instrText xml:space="preserve"> PAGEREF _Toc181256534 \h </w:instrText>
            </w:r>
            <w:r>
              <w:rPr>
                <w:noProof/>
                <w:webHidden/>
              </w:rPr>
            </w:r>
            <w:r>
              <w:rPr>
                <w:noProof/>
                <w:webHidden/>
              </w:rPr>
              <w:fldChar w:fldCharType="separate"/>
            </w:r>
            <w:r>
              <w:rPr>
                <w:noProof/>
                <w:webHidden/>
              </w:rPr>
              <w:t>5</w:t>
            </w:r>
            <w:r>
              <w:rPr>
                <w:noProof/>
                <w:webHidden/>
              </w:rPr>
              <w:fldChar w:fldCharType="end"/>
            </w:r>
          </w:hyperlink>
        </w:p>
        <w:p w14:paraId="243C706B" w14:textId="67D033DF" w:rsidR="0071278E" w:rsidRDefault="0071278E">
          <w:pPr>
            <w:pStyle w:val="TOC2"/>
            <w:tabs>
              <w:tab w:val="right" w:leader="dot" w:pos="9350"/>
            </w:tabs>
            <w:rPr>
              <w:rFonts w:asciiTheme="minorHAnsi" w:hAnsiTheme="minorHAnsi"/>
              <w:b w:val="0"/>
              <w:bCs w:val="0"/>
              <w:noProof/>
              <w:sz w:val="24"/>
              <w:szCs w:val="24"/>
              <w:lang w:eastAsia="en-GB"/>
            </w:rPr>
          </w:pPr>
          <w:hyperlink w:anchor="_Toc181256535" w:history="1">
            <w:r w:rsidRPr="00F10C40">
              <w:rPr>
                <w:rStyle w:val="Hyperlink"/>
                <w:noProof/>
              </w:rPr>
              <w:t>Recruitment from critical care</w:t>
            </w:r>
            <w:r>
              <w:rPr>
                <w:noProof/>
                <w:webHidden/>
              </w:rPr>
              <w:tab/>
            </w:r>
            <w:r>
              <w:rPr>
                <w:noProof/>
                <w:webHidden/>
              </w:rPr>
              <w:fldChar w:fldCharType="begin"/>
            </w:r>
            <w:r>
              <w:rPr>
                <w:noProof/>
                <w:webHidden/>
              </w:rPr>
              <w:instrText xml:space="preserve"> PAGEREF _Toc181256535 \h </w:instrText>
            </w:r>
            <w:r>
              <w:rPr>
                <w:noProof/>
                <w:webHidden/>
              </w:rPr>
            </w:r>
            <w:r>
              <w:rPr>
                <w:noProof/>
                <w:webHidden/>
              </w:rPr>
              <w:fldChar w:fldCharType="separate"/>
            </w:r>
            <w:r>
              <w:rPr>
                <w:noProof/>
                <w:webHidden/>
              </w:rPr>
              <w:t>5</w:t>
            </w:r>
            <w:r>
              <w:rPr>
                <w:noProof/>
                <w:webHidden/>
              </w:rPr>
              <w:fldChar w:fldCharType="end"/>
            </w:r>
          </w:hyperlink>
        </w:p>
        <w:p w14:paraId="3DB170D8" w14:textId="3AE814B1" w:rsidR="0071278E" w:rsidRDefault="0071278E">
          <w:pPr>
            <w:pStyle w:val="TOC2"/>
            <w:tabs>
              <w:tab w:val="right" w:leader="dot" w:pos="9350"/>
            </w:tabs>
            <w:rPr>
              <w:rFonts w:asciiTheme="minorHAnsi" w:hAnsiTheme="minorHAnsi"/>
              <w:b w:val="0"/>
              <w:bCs w:val="0"/>
              <w:noProof/>
              <w:sz w:val="24"/>
              <w:szCs w:val="24"/>
              <w:lang w:eastAsia="en-GB"/>
            </w:rPr>
          </w:pPr>
          <w:hyperlink w:anchor="_Toc181256536" w:history="1">
            <w:r w:rsidRPr="00F10C40">
              <w:rPr>
                <w:rStyle w:val="Hyperlink"/>
                <w:noProof/>
              </w:rPr>
              <w:t>Other recruitment</w:t>
            </w:r>
            <w:r>
              <w:rPr>
                <w:noProof/>
                <w:webHidden/>
              </w:rPr>
              <w:tab/>
            </w:r>
            <w:r>
              <w:rPr>
                <w:noProof/>
                <w:webHidden/>
              </w:rPr>
              <w:fldChar w:fldCharType="begin"/>
            </w:r>
            <w:r>
              <w:rPr>
                <w:noProof/>
                <w:webHidden/>
              </w:rPr>
              <w:instrText xml:space="preserve"> PAGEREF _Toc181256536 \h </w:instrText>
            </w:r>
            <w:r>
              <w:rPr>
                <w:noProof/>
                <w:webHidden/>
              </w:rPr>
            </w:r>
            <w:r>
              <w:rPr>
                <w:noProof/>
                <w:webHidden/>
              </w:rPr>
              <w:fldChar w:fldCharType="separate"/>
            </w:r>
            <w:r>
              <w:rPr>
                <w:noProof/>
                <w:webHidden/>
              </w:rPr>
              <w:t>6</w:t>
            </w:r>
            <w:r>
              <w:rPr>
                <w:noProof/>
                <w:webHidden/>
              </w:rPr>
              <w:fldChar w:fldCharType="end"/>
            </w:r>
          </w:hyperlink>
        </w:p>
        <w:p w14:paraId="5B42DC3E" w14:textId="29A3977E" w:rsidR="0071278E" w:rsidRDefault="0071278E">
          <w:pPr>
            <w:pStyle w:val="TOC2"/>
            <w:tabs>
              <w:tab w:val="right" w:leader="dot" w:pos="9350"/>
            </w:tabs>
            <w:rPr>
              <w:rFonts w:asciiTheme="minorHAnsi" w:hAnsiTheme="minorHAnsi"/>
              <w:b w:val="0"/>
              <w:bCs w:val="0"/>
              <w:noProof/>
              <w:sz w:val="24"/>
              <w:szCs w:val="24"/>
              <w:lang w:eastAsia="en-GB"/>
            </w:rPr>
          </w:pPr>
          <w:hyperlink w:anchor="_Toc181256537" w:history="1">
            <w:r w:rsidRPr="00F10C40">
              <w:rPr>
                <w:rStyle w:val="Hyperlink"/>
                <w:noProof/>
              </w:rPr>
              <w:t>Data management objectives</w:t>
            </w:r>
            <w:r>
              <w:rPr>
                <w:noProof/>
                <w:webHidden/>
              </w:rPr>
              <w:tab/>
            </w:r>
            <w:r>
              <w:rPr>
                <w:noProof/>
                <w:webHidden/>
              </w:rPr>
              <w:fldChar w:fldCharType="begin"/>
            </w:r>
            <w:r>
              <w:rPr>
                <w:noProof/>
                <w:webHidden/>
              </w:rPr>
              <w:instrText xml:space="preserve"> PAGEREF _Toc181256537 \h </w:instrText>
            </w:r>
            <w:r>
              <w:rPr>
                <w:noProof/>
                <w:webHidden/>
              </w:rPr>
            </w:r>
            <w:r>
              <w:rPr>
                <w:noProof/>
                <w:webHidden/>
              </w:rPr>
              <w:fldChar w:fldCharType="separate"/>
            </w:r>
            <w:r>
              <w:rPr>
                <w:noProof/>
                <w:webHidden/>
              </w:rPr>
              <w:t>6</w:t>
            </w:r>
            <w:r>
              <w:rPr>
                <w:noProof/>
                <w:webHidden/>
              </w:rPr>
              <w:fldChar w:fldCharType="end"/>
            </w:r>
          </w:hyperlink>
        </w:p>
        <w:p w14:paraId="2F082532" w14:textId="05F22DD5"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38" w:history="1">
            <w:r w:rsidRPr="00F10C40">
              <w:rPr>
                <w:rStyle w:val="Hyperlink"/>
                <w:noProof/>
              </w:rPr>
              <w:t>Background</w:t>
            </w:r>
            <w:r>
              <w:rPr>
                <w:noProof/>
                <w:webHidden/>
              </w:rPr>
              <w:tab/>
            </w:r>
            <w:r>
              <w:rPr>
                <w:noProof/>
                <w:webHidden/>
              </w:rPr>
              <w:fldChar w:fldCharType="begin"/>
            </w:r>
            <w:r>
              <w:rPr>
                <w:noProof/>
                <w:webHidden/>
              </w:rPr>
              <w:instrText xml:space="preserve"> PAGEREF _Toc181256538 \h </w:instrText>
            </w:r>
            <w:r>
              <w:rPr>
                <w:noProof/>
                <w:webHidden/>
              </w:rPr>
            </w:r>
            <w:r>
              <w:rPr>
                <w:noProof/>
                <w:webHidden/>
              </w:rPr>
              <w:fldChar w:fldCharType="separate"/>
            </w:r>
            <w:r>
              <w:rPr>
                <w:noProof/>
                <w:webHidden/>
              </w:rPr>
              <w:t>6</w:t>
            </w:r>
            <w:r>
              <w:rPr>
                <w:noProof/>
                <w:webHidden/>
              </w:rPr>
              <w:fldChar w:fldCharType="end"/>
            </w:r>
          </w:hyperlink>
        </w:p>
        <w:p w14:paraId="6687AD81" w14:textId="2C20064E"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39" w:history="1">
            <w:r w:rsidRPr="00F10C40">
              <w:rPr>
                <w:rStyle w:val="Hyperlink"/>
                <w:noProof/>
              </w:rPr>
              <w:t>Study design and implementation</w:t>
            </w:r>
            <w:r>
              <w:rPr>
                <w:noProof/>
                <w:webHidden/>
              </w:rPr>
              <w:tab/>
            </w:r>
            <w:r>
              <w:rPr>
                <w:noProof/>
                <w:webHidden/>
              </w:rPr>
              <w:fldChar w:fldCharType="begin"/>
            </w:r>
            <w:r>
              <w:rPr>
                <w:noProof/>
                <w:webHidden/>
              </w:rPr>
              <w:instrText xml:space="preserve"> PAGEREF _Toc181256539 \h </w:instrText>
            </w:r>
            <w:r>
              <w:rPr>
                <w:noProof/>
                <w:webHidden/>
              </w:rPr>
            </w:r>
            <w:r>
              <w:rPr>
                <w:noProof/>
                <w:webHidden/>
              </w:rPr>
              <w:fldChar w:fldCharType="separate"/>
            </w:r>
            <w:r>
              <w:rPr>
                <w:noProof/>
                <w:webHidden/>
              </w:rPr>
              <w:t>7</w:t>
            </w:r>
            <w:r>
              <w:rPr>
                <w:noProof/>
                <w:webHidden/>
              </w:rPr>
              <w:fldChar w:fldCharType="end"/>
            </w:r>
          </w:hyperlink>
        </w:p>
        <w:p w14:paraId="7E180C7F" w14:textId="6C48D9E3" w:rsidR="0071278E" w:rsidRDefault="0071278E">
          <w:pPr>
            <w:pStyle w:val="TOC2"/>
            <w:tabs>
              <w:tab w:val="right" w:leader="dot" w:pos="9350"/>
            </w:tabs>
            <w:rPr>
              <w:rFonts w:asciiTheme="minorHAnsi" w:hAnsiTheme="minorHAnsi"/>
              <w:b w:val="0"/>
              <w:bCs w:val="0"/>
              <w:noProof/>
              <w:sz w:val="24"/>
              <w:szCs w:val="24"/>
              <w:lang w:eastAsia="en-GB"/>
            </w:rPr>
          </w:pPr>
          <w:hyperlink w:anchor="_Toc181256540" w:history="1">
            <w:r w:rsidRPr="00F10C40">
              <w:rPr>
                <w:rStyle w:val="Hyperlink"/>
                <w:noProof/>
              </w:rPr>
              <w:t>Clinical Conditions (Phenotypes) of interest</w:t>
            </w:r>
            <w:r>
              <w:rPr>
                <w:noProof/>
                <w:webHidden/>
              </w:rPr>
              <w:tab/>
            </w:r>
            <w:r>
              <w:rPr>
                <w:noProof/>
                <w:webHidden/>
              </w:rPr>
              <w:fldChar w:fldCharType="begin"/>
            </w:r>
            <w:r>
              <w:rPr>
                <w:noProof/>
                <w:webHidden/>
              </w:rPr>
              <w:instrText xml:space="preserve"> PAGEREF _Toc181256540 \h </w:instrText>
            </w:r>
            <w:r>
              <w:rPr>
                <w:noProof/>
                <w:webHidden/>
              </w:rPr>
            </w:r>
            <w:r>
              <w:rPr>
                <w:noProof/>
                <w:webHidden/>
              </w:rPr>
              <w:fldChar w:fldCharType="separate"/>
            </w:r>
            <w:r>
              <w:rPr>
                <w:noProof/>
                <w:webHidden/>
              </w:rPr>
              <w:t>7</w:t>
            </w:r>
            <w:r>
              <w:rPr>
                <w:noProof/>
                <w:webHidden/>
              </w:rPr>
              <w:fldChar w:fldCharType="end"/>
            </w:r>
          </w:hyperlink>
        </w:p>
        <w:p w14:paraId="7BA44DC8" w14:textId="2F34C5DD" w:rsidR="0071278E" w:rsidRDefault="0071278E">
          <w:pPr>
            <w:pStyle w:val="TOC2"/>
            <w:tabs>
              <w:tab w:val="right" w:leader="dot" w:pos="9350"/>
            </w:tabs>
            <w:rPr>
              <w:rFonts w:asciiTheme="minorHAnsi" w:hAnsiTheme="minorHAnsi"/>
              <w:b w:val="0"/>
              <w:bCs w:val="0"/>
              <w:noProof/>
              <w:sz w:val="24"/>
              <w:szCs w:val="24"/>
              <w:lang w:eastAsia="en-GB"/>
            </w:rPr>
          </w:pPr>
          <w:hyperlink w:anchor="_Toc181256541" w:history="1">
            <w:r w:rsidRPr="00F10C40">
              <w:rPr>
                <w:rStyle w:val="Hyperlink"/>
                <w:noProof/>
              </w:rPr>
              <w:t>Prospective recruitment</w:t>
            </w:r>
            <w:r>
              <w:rPr>
                <w:noProof/>
                <w:webHidden/>
              </w:rPr>
              <w:tab/>
            </w:r>
            <w:r>
              <w:rPr>
                <w:noProof/>
                <w:webHidden/>
              </w:rPr>
              <w:fldChar w:fldCharType="begin"/>
            </w:r>
            <w:r>
              <w:rPr>
                <w:noProof/>
                <w:webHidden/>
              </w:rPr>
              <w:instrText xml:space="preserve"> PAGEREF _Toc181256541 \h </w:instrText>
            </w:r>
            <w:r>
              <w:rPr>
                <w:noProof/>
                <w:webHidden/>
              </w:rPr>
            </w:r>
            <w:r>
              <w:rPr>
                <w:noProof/>
                <w:webHidden/>
              </w:rPr>
              <w:fldChar w:fldCharType="separate"/>
            </w:r>
            <w:r>
              <w:rPr>
                <w:noProof/>
                <w:webHidden/>
              </w:rPr>
              <w:t>8</w:t>
            </w:r>
            <w:r>
              <w:rPr>
                <w:noProof/>
                <w:webHidden/>
              </w:rPr>
              <w:fldChar w:fldCharType="end"/>
            </w:r>
          </w:hyperlink>
        </w:p>
        <w:p w14:paraId="6948F65A" w14:textId="15DD5531" w:rsidR="0071278E" w:rsidRDefault="0071278E">
          <w:pPr>
            <w:pStyle w:val="TOC2"/>
            <w:tabs>
              <w:tab w:val="right" w:leader="dot" w:pos="9350"/>
            </w:tabs>
            <w:rPr>
              <w:rFonts w:asciiTheme="minorHAnsi" w:hAnsiTheme="minorHAnsi"/>
              <w:b w:val="0"/>
              <w:bCs w:val="0"/>
              <w:noProof/>
              <w:sz w:val="24"/>
              <w:szCs w:val="24"/>
              <w:lang w:eastAsia="en-GB"/>
            </w:rPr>
          </w:pPr>
          <w:hyperlink w:anchor="_Toc181256542" w:history="1">
            <w:r w:rsidRPr="00F10C40">
              <w:rPr>
                <w:rStyle w:val="Hyperlink"/>
                <w:noProof/>
              </w:rPr>
              <w:t>Laboratory sampling</w:t>
            </w:r>
            <w:r>
              <w:rPr>
                <w:noProof/>
                <w:webHidden/>
              </w:rPr>
              <w:tab/>
            </w:r>
            <w:r>
              <w:rPr>
                <w:noProof/>
                <w:webHidden/>
              </w:rPr>
              <w:fldChar w:fldCharType="begin"/>
            </w:r>
            <w:r>
              <w:rPr>
                <w:noProof/>
                <w:webHidden/>
              </w:rPr>
              <w:instrText xml:space="preserve"> PAGEREF _Toc181256542 \h </w:instrText>
            </w:r>
            <w:r>
              <w:rPr>
                <w:noProof/>
                <w:webHidden/>
              </w:rPr>
            </w:r>
            <w:r>
              <w:rPr>
                <w:noProof/>
                <w:webHidden/>
              </w:rPr>
              <w:fldChar w:fldCharType="separate"/>
            </w:r>
            <w:r>
              <w:rPr>
                <w:noProof/>
                <w:webHidden/>
              </w:rPr>
              <w:t>8</w:t>
            </w:r>
            <w:r>
              <w:rPr>
                <w:noProof/>
                <w:webHidden/>
              </w:rPr>
              <w:fldChar w:fldCharType="end"/>
            </w:r>
          </w:hyperlink>
        </w:p>
        <w:p w14:paraId="2F1FCEE9" w14:textId="4CA65BF9" w:rsidR="0071278E" w:rsidRDefault="0071278E">
          <w:pPr>
            <w:pStyle w:val="TOC2"/>
            <w:tabs>
              <w:tab w:val="right" w:leader="dot" w:pos="9350"/>
            </w:tabs>
            <w:rPr>
              <w:rFonts w:asciiTheme="minorHAnsi" w:hAnsiTheme="minorHAnsi"/>
              <w:b w:val="0"/>
              <w:bCs w:val="0"/>
              <w:noProof/>
              <w:sz w:val="24"/>
              <w:szCs w:val="24"/>
              <w:lang w:eastAsia="en-GB"/>
            </w:rPr>
          </w:pPr>
          <w:hyperlink w:anchor="_Toc181256543" w:history="1">
            <w:r w:rsidRPr="00F10C40">
              <w:rPr>
                <w:rStyle w:val="Hyperlink"/>
                <w:noProof/>
              </w:rPr>
              <w:t>GenOMICC Acute sub-study</w:t>
            </w:r>
            <w:r>
              <w:rPr>
                <w:noProof/>
                <w:webHidden/>
              </w:rPr>
              <w:tab/>
            </w:r>
            <w:r>
              <w:rPr>
                <w:noProof/>
                <w:webHidden/>
              </w:rPr>
              <w:fldChar w:fldCharType="begin"/>
            </w:r>
            <w:r>
              <w:rPr>
                <w:noProof/>
                <w:webHidden/>
              </w:rPr>
              <w:instrText xml:space="preserve"> PAGEREF _Toc181256543 \h </w:instrText>
            </w:r>
            <w:r>
              <w:rPr>
                <w:noProof/>
                <w:webHidden/>
              </w:rPr>
            </w:r>
            <w:r>
              <w:rPr>
                <w:noProof/>
                <w:webHidden/>
              </w:rPr>
              <w:fldChar w:fldCharType="separate"/>
            </w:r>
            <w:r>
              <w:rPr>
                <w:noProof/>
                <w:webHidden/>
              </w:rPr>
              <w:t>8</w:t>
            </w:r>
            <w:r>
              <w:rPr>
                <w:noProof/>
                <w:webHidden/>
              </w:rPr>
              <w:fldChar w:fldCharType="end"/>
            </w:r>
          </w:hyperlink>
        </w:p>
        <w:p w14:paraId="72518FEA" w14:textId="2EC7DE97" w:rsidR="0071278E" w:rsidRDefault="0071278E">
          <w:pPr>
            <w:pStyle w:val="TOC3"/>
            <w:rPr>
              <w:rFonts w:asciiTheme="minorHAnsi" w:hAnsiTheme="minorHAnsi"/>
              <w:noProof/>
              <w:sz w:val="24"/>
              <w:szCs w:val="24"/>
              <w:lang w:eastAsia="en-GB"/>
            </w:rPr>
          </w:pPr>
          <w:hyperlink w:anchor="_Toc181256544" w:history="1">
            <w:r w:rsidRPr="00F10C40">
              <w:rPr>
                <w:rStyle w:val="Hyperlink"/>
                <w:noProof/>
              </w:rPr>
              <w:t>Rationale for GenOMICC Acute</w:t>
            </w:r>
            <w:r>
              <w:rPr>
                <w:noProof/>
                <w:webHidden/>
              </w:rPr>
              <w:tab/>
            </w:r>
            <w:r>
              <w:rPr>
                <w:noProof/>
                <w:webHidden/>
              </w:rPr>
              <w:fldChar w:fldCharType="begin"/>
            </w:r>
            <w:r>
              <w:rPr>
                <w:noProof/>
                <w:webHidden/>
              </w:rPr>
              <w:instrText xml:space="preserve"> PAGEREF _Toc181256544 \h </w:instrText>
            </w:r>
            <w:r>
              <w:rPr>
                <w:noProof/>
                <w:webHidden/>
              </w:rPr>
            </w:r>
            <w:r>
              <w:rPr>
                <w:noProof/>
                <w:webHidden/>
              </w:rPr>
              <w:fldChar w:fldCharType="separate"/>
            </w:r>
            <w:r>
              <w:rPr>
                <w:noProof/>
                <w:webHidden/>
              </w:rPr>
              <w:t>8</w:t>
            </w:r>
            <w:r>
              <w:rPr>
                <w:noProof/>
                <w:webHidden/>
              </w:rPr>
              <w:fldChar w:fldCharType="end"/>
            </w:r>
          </w:hyperlink>
        </w:p>
        <w:p w14:paraId="3E0B0AF4" w14:textId="48E56D29" w:rsidR="0071278E" w:rsidRDefault="0071278E">
          <w:pPr>
            <w:pStyle w:val="TOC3"/>
            <w:rPr>
              <w:rFonts w:asciiTheme="minorHAnsi" w:hAnsiTheme="minorHAnsi"/>
              <w:noProof/>
              <w:sz w:val="24"/>
              <w:szCs w:val="24"/>
              <w:lang w:eastAsia="en-GB"/>
            </w:rPr>
          </w:pPr>
          <w:hyperlink w:anchor="_Toc181256545" w:history="1">
            <w:r w:rsidRPr="00F10C40">
              <w:rPr>
                <w:rStyle w:val="Hyperlink"/>
                <w:noProof/>
              </w:rPr>
              <w:t>Eligibility criteria</w:t>
            </w:r>
            <w:r>
              <w:rPr>
                <w:noProof/>
                <w:webHidden/>
              </w:rPr>
              <w:tab/>
            </w:r>
            <w:r>
              <w:rPr>
                <w:noProof/>
                <w:webHidden/>
              </w:rPr>
              <w:fldChar w:fldCharType="begin"/>
            </w:r>
            <w:r>
              <w:rPr>
                <w:noProof/>
                <w:webHidden/>
              </w:rPr>
              <w:instrText xml:space="preserve"> PAGEREF _Toc181256545 \h </w:instrText>
            </w:r>
            <w:r>
              <w:rPr>
                <w:noProof/>
                <w:webHidden/>
              </w:rPr>
            </w:r>
            <w:r>
              <w:rPr>
                <w:noProof/>
                <w:webHidden/>
              </w:rPr>
              <w:fldChar w:fldCharType="separate"/>
            </w:r>
            <w:r>
              <w:rPr>
                <w:noProof/>
                <w:webHidden/>
              </w:rPr>
              <w:t>8</w:t>
            </w:r>
            <w:r>
              <w:rPr>
                <w:noProof/>
                <w:webHidden/>
              </w:rPr>
              <w:fldChar w:fldCharType="end"/>
            </w:r>
          </w:hyperlink>
        </w:p>
        <w:p w14:paraId="48B011B9" w14:textId="4789D02E" w:rsidR="0071278E" w:rsidRDefault="0071278E">
          <w:pPr>
            <w:pStyle w:val="TOC3"/>
            <w:rPr>
              <w:rFonts w:asciiTheme="minorHAnsi" w:hAnsiTheme="minorHAnsi"/>
              <w:noProof/>
              <w:sz w:val="24"/>
              <w:szCs w:val="24"/>
              <w:lang w:eastAsia="en-GB"/>
            </w:rPr>
          </w:pPr>
          <w:hyperlink w:anchor="_Toc181256546" w:history="1">
            <w:r w:rsidRPr="00F10C40">
              <w:rPr>
                <w:rStyle w:val="Hyperlink"/>
                <w:noProof/>
              </w:rPr>
              <w:t>Recruitment procedures for GenOMICC Acute</w:t>
            </w:r>
            <w:r>
              <w:rPr>
                <w:noProof/>
                <w:webHidden/>
              </w:rPr>
              <w:tab/>
            </w:r>
            <w:r>
              <w:rPr>
                <w:noProof/>
                <w:webHidden/>
              </w:rPr>
              <w:fldChar w:fldCharType="begin"/>
            </w:r>
            <w:r>
              <w:rPr>
                <w:noProof/>
                <w:webHidden/>
              </w:rPr>
              <w:instrText xml:space="preserve"> PAGEREF _Toc181256546 \h </w:instrText>
            </w:r>
            <w:r>
              <w:rPr>
                <w:noProof/>
                <w:webHidden/>
              </w:rPr>
            </w:r>
            <w:r>
              <w:rPr>
                <w:noProof/>
                <w:webHidden/>
              </w:rPr>
              <w:fldChar w:fldCharType="separate"/>
            </w:r>
            <w:r>
              <w:rPr>
                <w:noProof/>
                <w:webHidden/>
              </w:rPr>
              <w:t>8</w:t>
            </w:r>
            <w:r>
              <w:rPr>
                <w:noProof/>
                <w:webHidden/>
              </w:rPr>
              <w:fldChar w:fldCharType="end"/>
            </w:r>
          </w:hyperlink>
        </w:p>
        <w:p w14:paraId="25A4D34E" w14:textId="62F9602E" w:rsidR="0071278E" w:rsidRDefault="0071278E">
          <w:pPr>
            <w:pStyle w:val="TOC2"/>
            <w:tabs>
              <w:tab w:val="right" w:leader="dot" w:pos="9350"/>
            </w:tabs>
            <w:rPr>
              <w:rFonts w:asciiTheme="minorHAnsi" w:hAnsiTheme="minorHAnsi"/>
              <w:b w:val="0"/>
              <w:bCs w:val="0"/>
              <w:noProof/>
              <w:sz w:val="24"/>
              <w:szCs w:val="24"/>
              <w:lang w:eastAsia="en-GB"/>
            </w:rPr>
          </w:pPr>
          <w:hyperlink w:anchor="_Toc181256547" w:history="1">
            <w:r w:rsidRPr="00F10C40">
              <w:rPr>
                <w:rStyle w:val="Hyperlink"/>
                <w:noProof/>
              </w:rPr>
              <w:t>Recruitment of survivors</w:t>
            </w:r>
            <w:r>
              <w:rPr>
                <w:noProof/>
                <w:webHidden/>
              </w:rPr>
              <w:tab/>
            </w:r>
            <w:r>
              <w:rPr>
                <w:noProof/>
                <w:webHidden/>
              </w:rPr>
              <w:fldChar w:fldCharType="begin"/>
            </w:r>
            <w:r>
              <w:rPr>
                <w:noProof/>
                <w:webHidden/>
              </w:rPr>
              <w:instrText xml:space="preserve"> PAGEREF _Toc181256547 \h </w:instrText>
            </w:r>
            <w:r>
              <w:rPr>
                <w:noProof/>
                <w:webHidden/>
              </w:rPr>
            </w:r>
            <w:r>
              <w:rPr>
                <w:noProof/>
                <w:webHidden/>
              </w:rPr>
              <w:fldChar w:fldCharType="separate"/>
            </w:r>
            <w:r>
              <w:rPr>
                <w:noProof/>
                <w:webHidden/>
              </w:rPr>
              <w:t>9</w:t>
            </w:r>
            <w:r>
              <w:rPr>
                <w:noProof/>
                <w:webHidden/>
              </w:rPr>
              <w:fldChar w:fldCharType="end"/>
            </w:r>
          </w:hyperlink>
        </w:p>
        <w:p w14:paraId="3F4B1CCB" w14:textId="23CFB3CC" w:rsidR="0071278E" w:rsidRDefault="0071278E">
          <w:pPr>
            <w:pStyle w:val="TOC2"/>
            <w:tabs>
              <w:tab w:val="right" w:leader="dot" w:pos="9350"/>
            </w:tabs>
            <w:rPr>
              <w:rFonts w:asciiTheme="minorHAnsi" w:hAnsiTheme="minorHAnsi"/>
              <w:b w:val="0"/>
              <w:bCs w:val="0"/>
              <w:noProof/>
              <w:sz w:val="24"/>
              <w:szCs w:val="24"/>
              <w:lang w:eastAsia="en-GB"/>
            </w:rPr>
          </w:pPr>
          <w:hyperlink w:anchor="_Toc181256548" w:history="1">
            <w:r w:rsidRPr="00F10C40">
              <w:rPr>
                <w:rStyle w:val="Hyperlink"/>
                <w:noProof/>
              </w:rPr>
              <w:t>Recruitment of a comparison (control) group</w:t>
            </w:r>
            <w:r>
              <w:rPr>
                <w:noProof/>
                <w:webHidden/>
              </w:rPr>
              <w:tab/>
            </w:r>
            <w:r>
              <w:rPr>
                <w:noProof/>
                <w:webHidden/>
              </w:rPr>
              <w:fldChar w:fldCharType="begin"/>
            </w:r>
            <w:r>
              <w:rPr>
                <w:noProof/>
                <w:webHidden/>
              </w:rPr>
              <w:instrText xml:space="preserve"> PAGEREF _Toc181256548 \h </w:instrText>
            </w:r>
            <w:r>
              <w:rPr>
                <w:noProof/>
                <w:webHidden/>
              </w:rPr>
            </w:r>
            <w:r>
              <w:rPr>
                <w:noProof/>
                <w:webHidden/>
              </w:rPr>
              <w:fldChar w:fldCharType="separate"/>
            </w:r>
            <w:r>
              <w:rPr>
                <w:noProof/>
                <w:webHidden/>
              </w:rPr>
              <w:t>9</w:t>
            </w:r>
            <w:r>
              <w:rPr>
                <w:noProof/>
                <w:webHidden/>
              </w:rPr>
              <w:fldChar w:fldCharType="end"/>
            </w:r>
          </w:hyperlink>
        </w:p>
        <w:p w14:paraId="3F9C8032" w14:textId="762E1884" w:rsidR="0071278E" w:rsidRDefault="0071278E">
          <w:pPr>
            <w:pStyle w:val="TOC2"/>
            <w:tabs>
              <w:tab w:val="right" w:leader="dot" w:pos="9350"/>
            </w:tabs>
            <w:rPr>
              <w:rFonts w:asciiTheme="minorHAnsi" w:hAnsiTheme="minorHAnsi"/>
              <w:b w:val="0"/>
              <w:bCs w:val="0"/>
              <w:noProof/>
              <w:sz w:val="24"/>
              <w:szCs w:val="24"/>
              <w:lang w:eastAsia="en-GB"/>
            </w:rPr>
          </w:pPr>
          <w:hyperlink w:anchor="_Toc181256549" w:history="1">
            <w:r w:rsidRPr="00F10C40">
              <w:rPr>
                <w:rStyle w:val="Hyperlink"/>
                <w:noProof/>
              </w:rPr>
              <w:t>Obtaining samples from participants in the community</w:t>
            </w:r>
            <w:r>
              <w:rPr>
                <w:noProof/>
                <w:webHidden/>
              </w:rPr>
              <w:tab/>
            </w:r>
            <w:r>
              <w:rPr>
                <w:noProof/>
                <w:webHidden/>
              </w:rPr>
              <w:fldChar w:fldCharType="begin"/>
            </w:r>
            <w:r>
              <w:rPr>
                <w:noProof/>
                <w:webHidden/>
              </w:rPr>
              <w:instrText xml:space="preserve"> PAGEREF _Toc181256549 \h </w:instrText>
            </w:r>
            <w:r>
              <w:rPr>
                <w:noProof/>
                <w:webHidden/>
              </w:rPr>
            </w:r>
            <w:r>
              <w:rPr>
                <w:noProof/>
                <w:webHidden/>
              </w:rPr>
              <w:fldChar w:fldCharType="separate"/>
            </w:r>
            <w:r>
              <w:rPr>
                <w:noProof/>
                <w:webHidden/>
              </w:rPr>
              <w:t>10</w:t>
            </w:r>
            <w:r>
              <w:rPr>
                <w:noProof/>
                <w:webHidden/>
              </w:rPr>
              <w:fldChar w:fldCharType="end"/>
            </w:r>
          </w:hyperlink>
        </w:p>
        <w:p w14:paraId="71EEDFF1" w14:textId="4B64BCD6" w:rsidR="0071278E" w:rsidRDefault="0071278E">
          <w:pPr>
            <w:pStyle w:val="TOC2"/>
            <w:tabs>
              <w:tab w:val="right" w:leader="dot" w:pos="9350"/>
            </w:tabs>
            <w:rPr>
              <w:rFonts w:asciiTheme="minorHAnsi" w:hAnsiTheme="minorHAnsi"/>
              <w:b w:val="0"/>
              <w:bCs w:val="0"/>
              <w:noProof/>
              <w:sz w:val="24"/>
              <w:szCs w:val="24"/>
              <w:lang w:eastAsia="en-GB"/>
            </w:rPr>
          </w:pPr>
          <w:hyperlink w:anchor="_Toc181256550" w:history="1">
            <w:r w:rsidRPr="00F10C40">
              <w:rPr>
                <w:rStyle w:val="Hyperlink"/>
                <w:noProof/>
              </w:rPr>
              <w:t>Repeat sampling of survivors</w:t>
            </w:r>
            <w:r>
              <w:rPr>
                <w:noProof/>
                <w:webHidden/>
              </w:rPr>
              <w:tab/>
            </w:r>
            <w:r>
              <w:rPr>
                <w:noProof/>
                <w:webHidden/>
              </w:rPr>
              <w:fldChar w:fldCharType="begin"/>
            </w:r>
            <w:r>
              <w:rPr>
                <w:noProof/>
                <w:webHidden/>
              </w:rPr>
              <w:instrText xml:space="preserve"> PAGEREF _Toc181256550 \h </w:instrText>
            </w:r>
            <w:r>
              <w:rPr>
                <w:noProof/>
                <w:webHidden/>
              </w:rPr>
            </w:r>
            <w:r>
              <w:rPr>
                <w:noProof/>
                <w:webHidden/>
              </w:rPr>
              <w:fldChar w:fldCharType="separate"/>
            </w:r>
            <w:r>
              <w:rPr>
                <w:noProof/>
                <w:webHidden/>
              </w:rPr>
              <w:t>10</w:t>
            </w:r>
            <w:r>
              <w:rPr>
                <w:noProof/>
                <w:webHidden/>
              </w:rPr>
              <w:fldChar w:fldCharType="end"/>
            </w:r>
          </w:hyperlink>
        </w:p>
        <w:p w14:paraId="74122253" w14:textId="2F9200FE" w:rsidR="0071278E" w:rsidRDefault="0071278E">
          <w:pPr>
            <w:pStyle w:val="TOC2"/>
            <w:tabs>
              <w:tab w:val="right" w:leader="dot" w:pos="9350"/>
            </w:tabs>
            <w:rPr>
              <w:rFonts w:asciiTheme="minorHAnsi" w:hAnsiTheme="minorHAnsi"/>
              <w:b w:val="0"/>
              <w:bCs w:val="0"/>
              <w:noProof/>
              <w:sz w:val="24"/>
              <w:szCs w:val="24"/>
              <w:lang w:eastAsia="en-GB"/>
            </w:rPr>
          </w:pPr>
          <w:hyperlink w:anchor="_Toc181256551" w:history="1">
            <w:r w:rsidRPr="00F10C40">
              <w:rPr>
                <w:rStyle w:val="Hyperlink"/>
                <w:noProof/>
              </w:rPr>
              <w:t>Study eligibility</w:t>
            </w:r>
            <w:r>
              <w:rPr>
                <w:noProof/>
                <w:webHidden/>
              </w:rPr>
              <w:tab/>
            </w:r>
            <w:r>
              <w:rPr>
                <w:noProof/>
                <w:webHidden/>
              </w:rPr>
              <w:fldChar w:fldCharType="begin"/>
            </w:r>
            <w:r>
              <w:rPr>
                <w:noProof/>
                <w:webHidden/>
              </w:rPr>
              <w:instrText xml:space="preserve"> PAGEREF _Toc181256551 \h </w:instrText>
            </w:r>
            <w:r>
              <w:rPr>
                <w:noProof/>
                <w:webHidden/>
              </w:rPr>
            </w:r>
            <w:r>
              <w:rPr>
                <w:noProof/>
                <w:webHidden/>
              </w:rPr>
              <w:fldChar w:fldCharType="separate"/>
            </w:r>
            <w:r>
              <w:rPr>
                <w:noProof/>
                <w:webHidden/>
              </w:rPr>
              <w:t>10</w:t>
            </w:r>
            <w:r>
              <w:rPr>
                <w:noProof/>
                <w:webHidden/>
              </w:rPr>
              <w:fldChar w:fldCharType="end"/>
            </w:r>
          </w:hyperlink>
        </w:p>
        <w:p w14:paraId="76BBBB11" w14:textId="1B2D225E" w:rsidR="0071278E" w:rsidRDefault="0071278E">
          <w:pPr>
            <w:pStyle w:val="TOC3"/>
            <w:rPr>
              <w:rFonts w:asciiTheme="minorHAnsi" w:hAnsiTheme="minorHAnsi"/>
              <w:noProof/>
              <w:sz w:val="24"/>
              <w:szCs w:val="24"/>
              <w:lang w:eastAsia="en-GB"/>
            </w:rPr>
          </w:pPr>
          <w:hyperlink w:anchor="_Toc181256552" w:history="1">
            <w:r w:rsidRPr="00F10C40">
              <w:rPr>
                <w:rStyle w:val="Hyperlink"/>
                <w:noProof/>
              </w:rPr>
              <w:t>Inclusion criteria</w:t>
            </w:r>
            <w:r>
              <w:rPr>
                <w:noProof/>
                <w:webHidden/>
              </w:rPr>
              <w:tab/>
            </w:r>
            <w:r>
              <w:rPr>
                <w:noProof/>
                <w:webHidden/>
              </w:rPr>
              <w:fldChar w:fldCharType="begin"/>
            </w:r>
            <w:r>
              <w:rPr>
                <w:noProof/>
                <w:webHidden/>
              </w:rPr>
              <w:instrText xml:space="preserve"> PAGEREF _Toc181256552 \h </w:instrText>
            </w:r>
            <w:r>
              <w:rPr>
                <w:noProof/>
                <w:webHidden/>
              </w:rPr>
            </w:r>
            <w:r>
              <w:rPr>
                <w:noProof/>
                <w:webHidden/>
              </w:rPr>
              <w:fldChar w:fldCharType="separate"/>
            </w:r>
            <w:r>
              <w:rPr>
                <w:noProof/>
                <w:webHidden/>
              </w:rPr>
              <w:t>10</w:t>
            </w:r>
            <w:r>
              <w:rPr>
                <w:noProof/>
                <w:webHidden/>
              </w:rPr>
              <w:fldChar w:fldCharType="end"/>
            </w:r>
          </w:hyperlink>
        </w:p>
        <w:p w14:paraId="1B047131" w14:textId="44E4FAB5" w:rsidR="0071278E" w:rsidRDefault="0071278E">
          <w:pPr>
            <w:pStyle w:val="TOC3"/>
            <w:rPr>
              <w:rFonts w:asciiTheme="minorHAnsi" w:hAnsiTheme="minorHAnsi"/>
              <w:noProof/>
              <w:sz w:val="24"/>
              <w:szCs w:val="24"/>
              <w:lang w:eastAsia="en-GB"/>
            </w:rPr>
          </w:pPr>
          <w:hyperlink w:anchor="_Toc181256553" w:history="1">
            <w:r w:rsidRPr="00F10C40">
              <w:rPr>
                <w:rStyle w:val="Hyperlink"/>
                <w:noProof/>
              </w:rPr>
              <w:t>Emerging Infections and exposures</w:t>
            </w:r>
            <w:r>
              <w:rPr>
                <w:noProof/>
                <w:webHidden/>
              </w:rPr>
              <w:tab/>
            </w:r>
            <w:r>
              <w:rPr>
                <w:noProof/>
                <w:webHidden/>
              </w:rPr>
              <w:fldChar w:fldCharType="begin"/>
            </w:r>
            <w:r>
              <w:rPr>
                <w:noProof/>
                <w:webHidden/>
              </w:rPr>
              <w:instrText xml:space="preserve"> PAGEREF _Toc181256553 \h </w:instrText>
            </w:r>
            <w:r>
              <w:rPr>
                <w:noProof/>
                <w:webHidden/>
              </w:rPr>
            </w:r>
            <w:r>
              <w:rPr>
                <w:noProof/>
                <w:webHidden/>
              </w:rPr>
              <w:fldChar w:fldCharType="separate"/>
            </w:r>
            <w:r>
              <w:rPr>
                <w:noProof/>
                <w:webHidden/>
              </w:rPr>
              <w:t>12</w:t>
            </w:r>
            <w:r>
              <w:rPr>
                <w:noProof/>
                <w:webHidden/>
              </w:rPr>
              <w:fldChar w:fldCharType="end"/>
            </w:r>
          </w:hyperlink>
        </w:p>
        <w:p w14:paraId="14771B94" w14:textId="2DBEF7B8" w:rsidR="0071278E" w:rsidRDefault="0071278E">
          <w:pPr>
            <w:pStyle w:val="TOC3"/>
            <w:rPr>
              <w:rFonts w:asciiTheme="minorHAnsi" w:hAnsiTheme="minorHAnsi"/>
              <w:noProof/>
              <w:sz w:val="24"/>
              <w:szCs w:val="24"/>
              <w:lang w:eastAsia="en-GB"/>
            </w:rPr>
          </w:pPr>
          <w:hyperlink w:anchor="_Toc181256554" w:history="1">
            <w:r w:rsidRPr="00F10C40">
              <w:rPr>
                <w:rStyle w:val="Hyperlink"/>
                <w:noProof/>
              </w:rPr>
              <w:t>Exclusion criteria</w:t>
            </w:r>
            <w:r>
              <w:rPr>
                <w:noProof/>
                <w:webHidden/>
              </w:rPr>
              <w:tab/>
            </w:r>
            <w:r>
              <w:rPr>
                <w:noProof/>
                <w:webHidden/>
              </w:rPr>
              <w:fldChar w:fldCharType="begin"/>
            </w:r>
            <w:r>
              <w:rPr>
                <w:noProof/>
                <w:webHidden/>
              </w:rPr>
              <w:instrText xml:space="preserve"> PAGEREF _Toc181256554 \h </w:instrText>
            </w:r>
            <w:r>
              <w:rPr>
                <w:noProof/>
                <w:webHidden/>
              </w:rPr>
            </w:r>
            <w:r>
              <w:rPr>
                <w:noProof/>
                <w:webHidden/>
              </w:rPr>
              <w:fldChar w:fldCharType="separate"/>
            </w:r>
            <w:r>
              <w:rPr>
                <w:noProof/>
                <w:webHidden/>
              </w:rPr>
              <w:t>12</w:t>
            </w:r>
            <w:r>
              <w:rPr>
                <w:noProof/>
                <w:webHidden/>
              </w:rPr>
              <w:fldChar w:fldCharType="end"/>
            </w:r>
          </w:hyperlink>
        </w:p>
        <w:p w14:paraId="3869A7C6" w14:textId="3D79E8B9" w:rsidR="0071278E" w:rsidRDefault="0071278E">
          <w:pPr>
            <w:pStyle w:val="TOC3"/>
            <w:rPr>
              <w:rFonts w:asciiTheme="minorHAnsi" w:hAnsiTheme="minorHAnsi"/>
              <w:noProof/>
              <w:sz w:val="24"/>
              <w:szCs w:val="24"/>
              <w:lang w:eastAsia="en-GB"/>
            </w:rPr>
          </w:pPr>
          <w:hyperlink w:anchor="_Toc181256555" w:history="1">
            <w:r w:rsidRPr="00F10C40">
              <w:rPr>
                <w:rStyle w:val="Hyperlink"/>
                <w:noProof/>
              </w:rPr>
              <w:t>Additional groups</w:t>
            </w:r>
            <w:r>
              <w:rPr>
                <w:noProof/>
                <w:webHidden/>
              </w:rPr>
              <w:tab/>
            </w:r>
            <w:r>
              <w:rPr>
                <w:noProof/>
                <w:webHidden/>
              </w:rPr>
              <w:fldChar w:fldCharType="begin"/>
            </w:r>
            <w:r>
              <w:rPr>
                <w:noProof/>
                <w:webHidden/>
              </w:rPr>
              <w:instrText xml:space="preserve"> PAGEREF _Toc181256555 \h </w:instrText>
            </w:r>
            <w:r>
              <w:rPr>
                <w:noProof/>
                <w:webHidden/>
              </w:rPr>
            </w:r>
            <w:r>
              <w:rPr>
                <w:noProof/>
                <w:webHidden/>
              </w:rPr>
              <w:fldChar w:fldCharType="separate"/>
            </w:r>
            <w:r>
              <w:rPr>
                <w:noProof/>
                <w:webHidden/>
              </w:rPr>
              <w:t>12</w:t>
            </w:r>
            <w:r>
              <w:rPr>
                <w:noProof/>
                <w:webHidden/>
              </w:rPr>
              <w:fldChar w:fldCharType="end"/>
            </w:r>
          </w:hyperlink>
        </w:p>
        <w:p w14:paraId="48563ACF" w14:textId="13A59EC0" w:rsidR="0071278E" w:rsidRDefault="0071278E">
          <w:pPr>
            <w:pStyle w:val="TOC3"/>
            <w:rPr>
              <w:rFonts w:asciiTheme="minorHAnsi" w:hAnsiTheme="minorHAnsi"/>
              <w:noProof/>
              <w:sz w:val="24"/>
              <w:szCs w:val="24"/>
              <w:lang w:eastAsia="en-GB"/>
            </w:rPr>
          </w:pPr>
          <w:hyperlink w:anchor="_Toc181256556" w:history="1">
            <w:r w:rsidRPr="00F10C40">
              <w:rPr>
                <w:rStyle w:val="Hyperlink"/>
                <w:noProof/>
              </w:rPr>
              <w:t>Number of participants</w:t>
            </w:r>
            <w:r>
              <w:rPr>
                <w:noProof/>
                <w:webHidden/>
              </w:rPr>
              <w:tab/>
            </w:r>
            <w:r>
              <w:rPr>
                <w:noProof/>
                <w:webHidden/>
              </w:rPr>
              <w:fldChar w:fldCharType="begin"/>
            </w:r>
            <w:r>
              <w:rPr>
                <w:noProof/>
                <w:webHidden/>
              </w:rPr>
              <w:instrText xml:space="preserve"> PAGEREF _Toc181256556 \h </w:instrText>
            </w:r>
            <w:r>
              <w:rPr>
                <w:noProof/>
                <w:webHidden/>
              </w:rPr>
            </w:r>
            <w:r>
              <w:rPr>
                <w:noProof/>
                <w:webHidden/>
              </w:rPr>
              <w:fldChar w:fldCharType="separate"/>
            </w:r>
            <w:r>
              <w:rPr>
                <w:noProof/>
                <w:webHidden/>
              </w:rPr>
              <w:t>12</w:t>
            </w:r>
            <w:r>
              <w:rPr>
                <w:noProof/>
                <w:webHidden/>
              </w:rPr>
              <w:fldChar w:fldCharType="end"/>
            </w:r>
          </w:hyperlink>
        </w:p>
        <w:p w14:paraId="2F1AF5E9" w14:textId="3D800074" w:rsidR="0071278E" w:rsidRDefault="0071278E">
          <w:pPr>
            <w:pStyle w:val="TOC3"/>
            <w:rPr>
              <w:rFonts w:asciiTheme="minorHAnsi" w:hAnsiTheme="minorHAnsi"/>
              <w:noProof/>
              <w:sz w:val="24"/>
              <w:szCs w:val="24"/>
              <w:lang w:eastAsia="en-GB"/>
            </w:rPr>
          </w:pPr>
          <w:hyperlink w:anchor="_Toc181256557" w:history="1">
            <w:r w:rsidRPr="00F10C40">
              <w:rPr>
                <w:rStyle w:val="Hyperlink"/>
                <w:noProof/>
              </w:rPr>
              <w:t>Modification of sampling and data collection during the study</w:t>
            </w:r>
            <w:r>
              <w:rPr>
                <w:noProof/>
                <w:webHidden/>
              </w:rPr>
              <w:tab/>
            </w:r>
            <w:r>
              <w:rPr>
                <w:noProof/>
                <w:webHidden/>
              </w:rPr>
              <w:fldChar w:fldCharType="begin"/>
            </w:r>
            <w:r>
              <w:rPr>
                <w:noProof/>
                <w:webHidden/>
              </w:rPr>
              <w:instrText xml:space="preserve"> PAGEREF _Toc181256557 \h </w:instrText>
            </w:r>
            <w:r>
              <w:rPr>
                <w:noProof/>
                <w:webHidden/>
              </w:rPr>
            </w:r>
            <w:r>
              <w:rPr>
                <w:noProof/>
                <w:webHidden/>
              </w:rPr>
              <w:fldChar w:fldCharType="separate"/>
            </w:r>
            <w:r>
              <w:rPr>
                <w:noProof/>
                <w:webHidden/>
              </w:rPr>
              <w:t>12</w:t>
            </w:r>
            <w:r>
              <w:rPr>
                <w:noProof/>
                <w:webHidden/>
              </w:rPr>
              <w:fldChar w:fldCharType="end"/>
            </w:r>
          </w:hyperlink>
        </w:p>
        <w:p w14:paraId="3858B5E6" w14:textId="5E264840" w:rsidR="0071278E" w:rsidRDefault="0071278E">
          <w:pPr>
            <w:pStyle w:val="TOC3"/>
            <w:rPr>
              <w:rFonts w:asciiTheme="minorHAnsi" w:hAnsiTheme="minorHAnsi"/>
              <w:noProof/>
              <w:sz w:val="24"/>
              <w:szCs w:val="24"/>
              <w:lang w:eastAsia="en-GB"/>
            </w:rPr>
          </w:pPr>
          <w:hyperlink w:anchor="_Toc181256558" w:history="1">
            <w:r w:rsidRPr="00F10C40">
              <w:rPr>
                <w:rStyle w:val="Hyperlink"/>
                <w:noProof/>
              </w:rPr>
              <w:t>Standard of care for prospectively recruited patients</w:t>
            </w:r>
            <w:r>
              <w:rPr>
                <w:noProof/>
                <w:webHidden/>
              </w:rPr>
              <w:tab/>
            </w:r>
            <w:r>
              <w:rPr>
                <w:noProof/>
                <w:webHidden/>
              </w:rPr>
              <w:fldChar w:fldCharType="begin"/>
            </w:r>
            <w:r>
              <w:rPr>
                <w:noProof/>
                <w:webHidden/>
              </w:rPr>
              <w:instrText xml:space="preserve"> PAGEREF _Toc181256558 \h </w:instrText>
            </w:r>
            <w:r>
              <w:rPr>
                <w:noProof/>
                <w:webHidden/>
              </w:rPr>
            </w:r>
            <w:r>
              <w:rPr>
                <w:noProof/>
                <w:webHidden/>
              </w:rPr>
              <w:fldChar w:fldCharType="separate"/>
            </w:r>
            <w:r>
              <w:rPr>
                <w:noProof/>
                <w:webHidden/>
              </w:rPr>
              <w:t>13</w:t>
            </w:r>
            <w:r>
              <w:rPr>
                <w:noProof/>
                <w:webHidden/>
              </w:rPr>
              <w:fldChar w:fldCharType="end"/>
            </w:r>
          </w:hyperlink>
        </w:p>
        <w:p w14:paraId="3E47129E" w14:textId="6D089561" w:rsidR="0071278E" w:rsidRDefault="0071278E">
          <w:pPr>
            <w:pStyle w:val="TOC2"/>
            <w:tabs>
              <w:tab w:val="right" w:leader="dot" w:pos="9350"/>
            </w:tabs>
            <w:rPr>
              <w:rFonts w:asciiTheme="minorHAnsi" w:hAnsiTheme="minorHAnsi"/>
              <w:b w:val="0"/>
              <w:bCs w:val="0"/>
              <w:noProof/>
              <w:sz w:val="24"/>
              <w:szCs w:val="24"/>
              <w:lang w:eastAsia="en-GB"/>
            </w:rPr>
          </w:pPr>
          <w:hyperlink w:anchor="_Toc181256559" w:history="1">
            <w:r w:rsidRPr="00F10C40">
              <w:rPr>
                <w:rStyle w:val="Hyperlink"/>
                <w:noProof/>
              </w:rPr>
              <w:t>Sampling and Data Collection procedures</w:t>
            </w:r>
            <w:r>
              <w:rPr>
                <w:noProof/>
                <w:webHidden/>
              </w:rPr>
              <w:tab/>
            </w:r>
            <w:r>
              <w:rPr>
                <w:noProof/>
                <w:webHidden/>
              </w:rPr>
              <w:fldChar w:fldCharType="begin"/>
            </w:r>
            <w:r>
              <w:rPr>
                <w:noProof/>
                <w:webHidden/>
              </w:rPr>
              <w:instrText xml:space="preserve"> PAGEREF _Toc181256559 \h </w:instrText>
            </w:r>
            <w:r>
              <w:rPr>
                <w:noProof/>
                <w:webHidden/>
              </w:rPr>
            </w:r>
            <w:r>
              <w:rPr>
                <w:noProof/>
                <w:webHidden/>
              </w:rPr>
              <w:fldChar w:fldCharType="separate"/>
            </w:r>
            <w:r>
              <w:rPr>
                <w:noProof/>
                <w:webHidden/>
              </w:rPr>
              <w:t>13</w:t>
            </w:r>
            <w:r>
              <w:rPr>
                <w:noProof/>
                <w:webHidden/>
              </w:rPr>
              <w:fldChar w:fldCharType="end"/>
            </w:r>
          </w:hyperlink>
        </w:p>
        <w:p w14:paraId="47A21DFA" w14:textId="0144BA8F" w:rsidR="0071278E" w:rsidRDefault="0071278E">
          <w:pPr>
            <w:pStyle w:val="TOC3"/>
            <w:rPr>
              <w:rFonts w:asciiTheme="minorHAnsi" w:hAnsiTheme="minorHAnsi"/>
              <w:noProof/>
              <w:sz w:val="24"/>
              <w:szCs w:val="24"/>
              <w:lang w:eastAsia="en-GB"/>
            </w:rPr>
          </w:pPr>
          <w:hyperlink w:anchor="_Toc181256560" w:history="1">
            <w:r w:rsidRPr="00F10C40">
              <w:rPr>
                <w:rStyle w:val="Hyperlink"/>
                <w:noProof/>
              </w:rPr>
              <w:t>Sample and Data Collection Schedules</w:t>
            </w:r>
            <w:r>
              <w:rPr>
                <w:noProof/>
                <w:webHidden/>
              </w:rPr>
              <w:tab/>
            </w:r>
            <w:r>
              <w:rPr>
                <w:noProof/>
                <w:webHidden/>
              </w:rPr>
              <w:fldChar w:fldCharType="begin"/>
            </w:r>
            <w:r>
              <w:rPr>
                <w:noProof/>
                <w:webHidden/>
              </w:rPr>
              <w:instrText xml:space="preserve"> PAGEREF _Toc181256560 \h </w:instrText>
            </w:r>
            <w:r>
              <w:rPr>
                <w:noProof/>
                <w:webHidden/>
              </w:rPr>
            </w:r>
            <w:r>
              <w:rPr>
                <w:noProof/>
                <w:webHidden/>
              </w:rPr>
              <w:fldChar w:fldCharType="separate"/>
            </w:r>
            <w:r>
              <w:rPr>
                <w:noProof/>
                <w:webHidden/>
              </w:rPr>
              <w:t>13</w:t>
            </w:r>
            <w:r>
              <w:rPr>
                <w:noProof/>
                <w:webHidden/>
              </w:rPr>
              <w:fldChar w:fldCharType="end"/>
            </w:r>
          </w:hyperlink>
        </w:p>
        <w:p w14:paraId="3164CCD9" w14:textId="36687E08" w:rsidR="0071278E" w:rsidRDefault="0071278E">
          <w:pPr>
            <w:pStyle w:val="TOC3"/>
            <w:rPr>
              <w:rFonts w:asciiTheme="minorHAnsi" w:hAnsiTheme="minorHAnsi"/>
              <w:noProof/>
              <w:sz w:val="24"/>
              <w:szCs w:val="24"/>
              <w:lang w:eastAsia="en-GB"/>
            </w:rPr>
          </w:pPr>
          <w:hyperlink w:anchor="_Toc181256561" w:history="1">
            <w:r w:rsidRPr="00F10C40">
              <w:rPr>
                <w:rStyle w:val="Hyperlink"/>
                <w:noProof/>
              </w:rPr>
              <w:t>Sample volumes</w:t>
            </w:r>
            <w:r>
              <w:rPr>
                <w:noProof/>
                <w:webHidden/>
              </w:rPr>
              <w:tab/>
            </w:r>
            <w:r>
              <w:rPr>
                <w:noProof/>
                <w:webHidden/>
              </w:rPr>
              <w:fldChar w:fldCharType="begin"/>
            </w:r>
            <w:r>
              <w:rPr>
                <w:noProof/>
                <w:webHidden/>
              </w:rPr>
              <w:instrText xml:space="preserve"> PAGEREF _Toc181256561 \h </w:instrText>
            </w:r>
            <w:r>
              <w:rPr>
                <w:noProof/>
                <w:webHidden/>
              </w:rPr>
            </w:r>
            <w:r>
              <w:rPr>
                <w:noProof/>
                <w:webHidden/>
              </w:rPr>
              <w:fldChar w:fldCharType="separate"/>
            </w:r>
            <w:r>
              <w:rPr>
                <w:noProof/>
                <w:webHidden/>
              </w:rPr>
              <w:t>13</w:t>
            </w:r>
            <w:r>
              <w:rPr>
                <w:noProof/>
                <w:webHidden/>
              </w:rPr>
              <w:fldChar w:fldCharType="end"/>
            </w:r>
          </w:hyperlink>
        </w:p>
        <w:p w14:paraId="0313702F" w14:textId="721E2CAA" w:rsidR="0071278E" w:rsidRDefault="0071278E">
          <w:pPr>
            <w:pStyle w:val="TOC3"/>
            <w:rPr>
              <w:rFonts w:asciiTheme="minorHAnsi" w:hAnsiTheme="minorHAnsi"/>
              <w:noProof/>
              <w:sz w:val="24"/>
              <w:szCs w:val="24"/>
              <w:lang w:eastAsia="en-GB"/>
            </w:rPr>
          </w:pPr>
          <w:hyperlink w:anchor="_Toc181256562" w:history="1">
            <w:r w:rsidRPr="00F10C40">
              <w:rPr>
                <w:rStyle w:val="Hyperlink"/>
                <w:noProof/>
              </w:rPr>
              <w:t>Sampling procedure for patients or volunteers in the community</w:t>
            </w:r>
            <w:r>
              <w:rPr>
                <w:noProof/>
                <w:webHidden/>
              </w:rPr>
              <w:tab/>
            </w:r>
            <w:r>
              <w:rPr>
                <w:noProof/>
                <w:webHidden/>
              </w:rPr>
              <w:fldChar w:fldCharType="begin"/>
            </w:r>
            <w:r>
              <w:rPr>
                <w:noProof/>
                <w:webHidden/>
              </w:rPr>
              <w:instrText xml:space="preserve"> PAGEREF _Toc181256562 \h </w:instrText>
            </w:r>
            <w:r>
              <w:rPr>
                <w:noProof/>
                <w:webHidden/>
              </w:rPr>
            </w:r>
            <w:r>
              <w:rPr>
                <w:noProof/>
                <w:webHidden/>
              </w:rPr>
              <w:fldChar w:fldCharType="separate"/>
            </w:r>
            <w:r>
              <w:rPr>
                <w:noProof/>
                <w:webHidden/>
              </w:rPr>
              <w:t>14</w:t>
            </w:r>
            <w:r>
              <w:rPr>
                <w:noProof/>
                <w:webHidden/>
              </w:rPr>
              <w:fldChar w:fldCharType="end"/>
            </w:r>
          </w:hyperlink>
        </w:p>
        <w:p w14:paraId="1BC37C44" w14:textId="34B9B633" w:rsidR="0071278E" w:rsidRDefault="0071278E">
          <w:pPr>
            <w:pStyle w:val="TOC3"/>
            <w:rPr>
              <w:rFonts w:asciiTheme="minorHAnsi" w:hAnsiTheme="minorHAnsi"/>
              <w:noProof/>
              <w:sz w:val="24"/>
              <w:szCs w:val="24"/>
              <w:lang w:eastAsia="en-GB"/>
            </w:rPr>
          </w:pPr>
          <w:hyperlink w:anchor="_Toc181256563" w:history="1">
            <w:r w:rsidRPr="00F10C40">
              <w:rPr>
                <w:rStyle w:val="Hyperlink"/>
                <w:noProof/>
              </w:rPr>
              <w:t>Sample handling</w:t>
            </w:r>
            <w:r>
              <w:rPr>
                <w:noProof/>
                <w:webHidden/>
              </w:rPr>
              <w:tab/>
            </w:r>
            <w:r>
              <w:rPr>
                <w:noProof/>
                <w:webHidden/>
              </w:rPr>
              <w:fldChar w:fldCharType="begin"/>
            </w:r>
            <w:r>
              <w:rPr>
                <w:noProof/>
                <w:webHidden/>
              </w:rPr>
              <w:instrText xml:space="preserve"> PAGEREF _Toc181256563 \h </w:instrText>
            </w:r>
            <w:r>
              <w:rPr>
                <w:noProof/>
                <w:webHidden/>
              </w:rPr>
            </w:r>
            <w:r>
              <w:rPr>
                <w:noProof/>
                <w:webHidden/>
              </w:rPr>
              <w:fldChar w:fldCharType="separate"/>
            </w:r>
            <w:r>
              <w:rPr>
                <w:noProof/>
                <w:webHidden/>
              </w:rPr>
              <w:t>14</w:t>
            </w:r>
            <w:r>
              <w:rPr>
                <w:noProof/>
                <w:webHidden/>
              </w:rPr>
              <w:fldChar w:fldCharType="end"/>
            </w:r>
          </w:hyperlink>
        </w:p>
        <w:p w14:paraId="3582F13B" w14:textId="38EF4395" w:rsidR="0071278E" w:rsidRDefault="0071278E">
          <w:pPr>
            <w:pStyle w:val="TOC3"/>
            <w:rPr>
              <w:rFonts w:asciiTheme="minorHAnsi" w:hAnsiTheme="minorHAnsi"/>
              <w:noProof/>
              <w:sz w:val="24"/>
              <w:szCs w:val="24"/>
              <w:lang w:eastAsia="en-GB"/>
            </w:rPr>
          </w:pPr>
          <w:hyperlink w:anchor="_Toc181256564" w:history="1">
            <w:r w:rsidRPr="00F10C40">
              <w:rPr>
                <w:rStyle w:val="Hyperlink"/>
                <w:noProof/>
              </w:rPr>
              <w:t>Potentially hazardous samples</w:t>
            </w:r>
            <w:r>
              <w:rPr>
                <w:noProof/>
                <w:webHidden/>
              </w:rPr>
              <w:tab/>
            </w:r>
            <w:r>
              <w:rPr>
                <w:noProof/>
                <w:webHidden/>
              </w:rPr>
              <w:fldChar w:fldCharType="begin"/>
            </w:r>
            <w:r>
              <w:rPr>
                <w:noProof/>
                <w:webHidden/>
              </w:rPr>
              <w:instrText xml:space="preserve"> PAGEREF _Toc181256564 \h </w:instrText>
            </w:r>
            <w:r>
              <w:rPr>
                <w:noProof/>
                <w:webHidden/>
              </w:rPr>
            </w:r>
            <w:r>
              <w:rPr>
                <w:noProof/>
                <w:webHidden/>
              </w:rPr>
              <w:fldChar w:fldCharType="separate"/>
            </w:r>
            <w:r>
              <w:rPr>
                <w:noProof/>
                <w:webHidden/>
              </w:rPr>
              <w:t>15</w:t>
            </w:r>
            <w:r>
              <w:rPr>
                <w:noProof/>
                <w:webHidden/>
              </w:rPr>
              <w:fldChar w:fldCharType="end"/>
            </w:r>
          </w:hyperlink>
        </w:p>
        <w:p w14:paraId="7B6D3B92" w14:textId="14237691" w:rsidR="0071278E" w:rsidRDefault="0071278E">
          <w:pPr>
            <w:pStyle w:val="TOC3"/>
            <w:rPr>
              <w:rFonts w:asciiTheme="minorHAnsi" w:hAnsiTheme="minorHAnsi"/>
              <w:noProof/>
              <w:sz w:val="24"/>
              <w:szCs w:val="24"/>
              <w:lang w:eastAsia="en-GB"/>
            </w:rPr>
          </w:pPr>
          <w:hyperlink w:anchor="_Toc181256565" w:history="1">
            <w:r w:rsidRPr="00F10C40">
              <w:rPr>
                <w:rStyle w:val="Hyperlink"/>
                <w:noProof/>
              </w:rPr>
              <w:t>Follow up</w:t>
            </w:r>
            <w:r>
              <w:rPr>
                <w:noProof/>
                <w:webHidden/>
              </w:rPr>
              <w:tab/>
            </w:r>
            <w:r>
              <w:rPr>
                <w:noProof/>
                <w:webHidden/>
              </w:rPr>
              <w:fldChar w:fldCharType="begin"/>
            </w:r>
            <w:r>
              <w:rPr>
                <w:noProof/>
                <w:webHidden/>
              </w:rPr>
              <w:instrText xml:space="preserve"> PAGEREF _Toc181256565 \h </w:instrText>
            </w:r>
            <w:r>
              <w:rPr>
                <w:noProof/>
                <w:webHidden/>
              </w:rPr>
            </w:r>
            <w:r>
              <w:rPr>
                <w:noProof/>
                <w:webHidden/>
              </w:rPr>
              <w:fldChar w:fldCharType="separate"/>
            </w:r>
            <w:r>
              <w:rPr>
                <w:noProof/>
                <w:webHidden/>
              </w:rPr>
              <w:t>15</w:t>
            </w:r>
            <w:r>
              <w:rPr>
                <w:noProof/>
                <w:webHidden/>
              </w:rPr>
              <w:fldChar w:fldCharType="end"/>
            </w:r>
          </w:hyperlink>
        </w:p>
        <w:p w14:paraId="289359C2" w14:textId="57A9135B" w:rsidR="0071278E" w:rsidRDefault="0071278E">
          <w:pPr>
            <w:pStyle w:val="TOC3"/>
            <w:rPr>
              <w:rFonts w:asciiTheme="minorHAnsi" w:hAnsiTheme="minorHAnsi"/>
              <w:noProof/>
              <w:sz w:val="24"/>
              <w:szCs w:val="24"/>
              <w:lang w:eastAsia="en-GB"/>
            </w:rPr>
          </w:pPr>
          <w:hyperlink w:anchor="_Toc181256566" w:history="1">
            <w:r w:rsidRPr="00F10C40">
              <w:rPr>
                <w:rStyle w:val="Hyperlink"/>
                <w:noProof/>
              </w:rPr>
              <w:t>Outcome measures</w:t>
            </w:r>
            <w:r>
              <w:rPr>
                <w:noProof/>
                <w:webHidden/>
              </w:rPr>
              <w:tab/>
            </w:r>
            <w:r>
              <w:rPr>
                <w:noProof/>
                <w:webHidden/>
              </w:rPr>
              <w:fldChar w:fldCharType="begin"/>
            </w:r>
            <w:r>
              <w:rPr>
                <w:noProof/>
                <w:webHidden/>
              </w:rPr>
              <w:instrText xml:space="preserve"> PAGEREF _Toc181256566 \h </w:instrText>
            </w:r>
            <w:r>
              <w:rPr>
                <w:noProof/>
                <w:webHidden/>
              </w:rPr>
            </w:r>
            <w:r>
              <w:rPr>
                <w:noProof/>
                <w:webHidden/>
              </w:rPr>
              <w:fldChar w:fldCharType="separate"/>
            </w:r>
            <w:r>
              <w:rPr>
                <w:noProof/>
                <w:webHidden/>
              </w:rPr>
              <w:t>15</w:t>
            </w:r>
            <w:r>
              <w:rPr>
                <w:noProof/>
                <w:webHidden/>
              </w:rPr>
              <w:fldChar w:fldCharType="end"/>
            </w:r>
          </w:hyperlink>
        </w:p>
        <w:p w14:paraId="37E73BEC" w14:textId="14DB16B5" w:rsidR="0071278E" w:rsidRDefault="0071278E">
          <w:pPr>
            <w:pStyle w:val="TOC2"/>
            <w:tabs>
              <w:tab w:val="right" w:leader="dot" w:pos="9350"/>
            </w:tabs>
            <w:rPr>
              <w:rFonts w:asciiTheme="minorHAnsi" w:hAnsiTheme="minorHAnsi"/>
              <w:b w:val="0"/>
              <w:bCs w:val="0"/>
              <w:noProof/>
              <w:sz w:val="24"/>
              <w:szCs w:val="24"/>
              <w:lang w:eastAsia="en-GB"/>
            </w:rPr>
          </w:pPr>
          <w:hyperlink w:anchor="_Toc181256567" w:history="1">
            <w:r w:rsidRPr="00F10C40">
              <w:rPr>
                <w:rStyle w:val="Hyperlink"/>
                <w:noProof/>
              </w:rPr>
              <w:t>Enrolment procedures</w:t>
            </w:r>
            <w:r>
              <w:rPr>
                <w:noProof/>
                <w:webHidden/>
              </w:rPr>
              <w:tab/>
            </w:r>
            <w:r>
              <w:rPr>
                <w:noProof/>
                <w:webHidden/>
              </w:rPr>
              <w:fldChar w:fldCharType="begin"/>
            </w:r>
            <w:r>
              <w:rPr>
                <w:noProof/>
                <w:webHidden/>
              </w:rPr>
              <w:instrText xml:space="preserve"> PAGEREF _Toc181256567 \h </w:instrText>
            </w:r>
            <w:r>
              <w:rPr>
                <w:noProof/>
                <w:webHidden/>
              </w:rPr>
            </w:r>
            <w:r>
              <w:rPr>
                <w:noProof/>
                <w:webHidden/>
              </w:rPr>
              <w:fldChar w:fldCharType="separate"/>
            </w:r>
            <w:r>
              <w:rPr>
                <w:noProof/>
                <w:webHidden/>
              </w:rPr>
              <w:t>16</w:t>
            </w:r>
            <w:r>
              <w:rPr>
                <w:noProof/>
                <w:webHidden/>
              </w:rPr>
              <w:fldChar w:fldCharType="end"/>
            </w:r>
          </w:hyperlink>
        </w:p>
        <w:p w14:paraId="3CF29B69" w14:textId="0BDFE8E9" w:rsidR="0071278E" w:rsidRDefault="0071278E">
          <w:pPr>
            <w:pStyle w:val="TOC3"/>
            <w:rPr>
              <w:rFonts w:asciiTheme="minorHAnsi" w:hAnsiTheme="minorHAnsi"/>
              <w:noProof/>
              <w:sz w:val="24"/>
              <w:szCs w:val="24"/>
              <w:lang w:eastAsia="en-GB"/>
            </w:rPr>
          </w:pPr>
          <w:hyperlink w:anchor="_Toc181256568" w:history="1">
            <w:r w:rsidRPr="00F10C40">
              <w:rPr>
                <w:rStyle w:val="Hyperlink"/>
                <w:noProof/>
              </w:rPr>
              <w:t>Enrolment procedures for prospectively recruited patients</w:t>
            </w:r>
            <w:r>
              <w:rPr>
                <w:noProof/>
                <w:webHidden/>
              </w:rPr>
              <w:tab/>
            </w:r>
            <w:r>
              <w:rPr>
                <w:noProof/>
                <w:webHidden/>
              </w:rPr>
              <w:fldChar w:fldCharType="begin"/>
            </w:r>
            <w:r>
              <w:rPr>
                <w:noProof/>
                <w:webHidden/>
              </w:rPr>
              <w:instrText xml:space="preserve"> PAGEREF _Toc181256568 \h </w:instrText>
            </w:r>
            <w:r>
              <w:rPr>
                <w:noProof/>
                <w:webHidden/>
              </w:rPr>
            </w:r>
            <w:r>
              <w:rPr>
                <w:noProof/>
                <w:webHidden/>
              </w:rPr>
              <w:fldChar w:fldCharType="separate"/>
            </w:r>
            <w:r>
              <w:rPr>
                <w:noProof/>
                <w:webHidden/>
              </w:rPr>
              <w:t>16</w:t>
            </w:r>
            <w:r>
              <w:rPr>
                <w:noProof/>
                <w:webHidden/>
              </w:rPr>
              <w:fldChar w:fldCharType="end"/>
            </w:r>
          </w:hyperlink>
        </w:p>
        <w:p w14:paraId="4240DA58" w14:textId="18F8424C" w:rsidR="0071278E" w:rsidRDefault="0071278E">
          <w:pPr>
            <w:pStyle w:val="TOC3"/>
            <w:rPr>
              <w:rFonts w:asciiTheme="minorHAnsi" w:hAnsiTheme="minorHAnsi"/>
              <w:noProof/>
              <w:sz w:val="24"/>
              <w:szCs w:val="24"/>
              <w:lang w:eastAsia="en-GB"/>
            </w:rPr>
          </w:pPr>
          <w:hyperlink w:anchor="_Toc181256569" w:history="1">
            <w:r w:rsidRPr="00F10C40">
              <w:rPr>
                <w:rStyle w:val="Hyperlink"/>
                <w:noProof/>
              </w:rPr>
              <w:t>Procedures for consenting patients with regained capacity</w:t>
            </w:r>
            <w:r>
              <w:rPr>
                <w:noProof/>
                <w:webHidden/>
              </w:rPr>
              <w:tab/>
            </w:r>
            <w:r>
              <w:rPr>
                <w:noProof/>
                <w:webHidden/>
              </w:rPr>
              <w:fldChar w:fldCharType="begin"/>
            </w:r>
            <w:r>
              <w:rPr>
                <w:noProof/>
                <w:webHidden/>
              </w:rPr>
              <w:instrText xml:space="preserve"> PAGEREF _Toc181256569 \h </w:instrText>
            </w:r>
            <w:r>
              <w:rPr>
                <w:noProof/>
                <w:webHidden/>
              </w:rPr>
            </w:r>
            <w:r>
              <w:rPr>
                <w:noProof/>
                <w:webHidden/>
              </w:rPr>
              <w:fldChar w:fldCharType="separate"/>
            </w:r>
            <w:r>
              <w:rPr>
                <w:noProof/>
                <w:webHidden/>
              </w:rPr>
              <w:t>17</w:t>
            </w:r>
            <w:r>
              <w:rPr>
                <w:noProof/>
                <w:webHidden/>
              </w:rPr>
              <w:fldChar w:fldCharType="end"/>
            </w:r>
          </w:hyperlink>
        </w:p>
        <w:p w14:paraId="4D053B95" w14:textId="229D4EEB" w:rsidR="0071278E" w:rsidRDefault="0071278E">
          <w:pPr>
            <w:pStyle w:val="TOC3"/>
            <w:rPr>
              <w:rFonts w:asciiTheme="minorHAnsi" w:hAnsiTheme="minorHAnsi"/>
              <w:noProof/>
              <w:sz w:val="24"/>
              <w:szCs w:val="24"/>
              <w:lang w:eastAsia="en-GB"/>
            </w:rPr>
          </w:pPr>
          <w:hyperlink w:anchor="_Toc181256570" w:history="1">
            <w:r w:rsidRPr="00F10C40">
              <w:rPr>
                <w:rStyle w:val="Hyperlink"/>
                <w:noProof/>
              </w:rPr>
              <w:t>Attempts to re-consent following discharge</w:t>
            </w:r>
            <w:r>
              <w:rPr>
                <w:noProof/>
                <w:webHidden/>
              </w:rPr>
              <w:tab/>
            </w:r>
            <w:r>
              <w:rPr>
                <w:noProof/>
                <w:webHidden/>
              </w:rPr>
              <w:fldChar w:fldCharType="begin"/>
            </w:r>
            <w:r>
              <w:rPr>
                <w:noProof/>
                <w:webHidden/>
              </w:rPr>
              <w:instrText xml:space="preserve"> PAGEREF _Toc181256570 \h </w:instrText>
            </w:r>
            <w:r>
              <w:rPr>
                <w:noProof/>
                <w:webHidden/>
              </w:rPr>
            </w:r>
            <w:r>
              <w:rPr>
                <w:noProof/>
                <w:webHidden/>
              </w:rPr>
              <w:fldChar w:fldCharType="separate"/>
            </w:r>
            <w:r>
              <w:rPr>
                <w:noProof/>
                <w:webHidden/>
              </w:rPr>
              <w:t>17</w:t>
            </w:r>
            <w:r>
              <w:rPr>
                <w:noProof/>
                <w:webHidden/>
              </w:rPr>
              <w:fldChar w:fldCharType="end"/>
            </w:r>
          </w:hyperlink>
        </w:p>
        <w:p w14:paraId="5CCBA642" w14:textId="28E87BA8" w:rsidR="0071278E" w:rsidRDefault="0071278E">
          <w:pPr>
            <w:pStyle w:val="TOC3"/>
            <w:rPr>
              <w:rFonts w:asciiTheme="minorHAnsi" w:hAnsiTheme="minorHAnsi"/>
              <w:noProof/>
              <w:sz w:val="24"/>
              <w:szCs w:val="24"/>
              <w:lang w:eastAsia="en-GB"/>
            </w:rPr>
          </w:pPr>
          <w:hyperlink w:anchor="_Toc181256571" w:history="1">
            <w:r w:rsidRPr="00F10C40">
              <w:rPr>
                <w:rStyle w:val="Hyperlink"/>
                <w:noProof/>
              </w:rPr>
              <w:t>Capacity assessments</w:t>
            </w:r>
            <w:r>
              <w:rPr>
                <w:noProof/>
                <w:webHidden/>
              </w:rPr>
              <w:tab/>
            </w:r>
            <w:r>
              <w:rPr>
                <w:noProof/>
                <w:webHidden/>
              </w:rPr>
              <w:fldChar w:fldCharType="begin"/>
            </w:r>
            <w:r>
              <w:rPr>
                <w:noProof/>
                <w:webHidden/>
              </w:rPr>
              <w:instrText xml:space="preserve"> PAGEREF _Toc181256571 \h </w:instrText>
            </w:r>
            <w:r>
              <w:rPr>
                <w:noProof/>
                <w:webHidden/>
              </w:rPr>
            </w:r>
            <w:r>
              <w:rPr>
                <w:noProof/>
                <w:webHidden/>
              </w:rPr>
              <w:fldChar w:fldCharType="separate"/>
            </w:r>
            <w:r>
              <w:rPr>
                <w:noProof/>
                <w:webHidden/>
              </w:rPr>
              <w:t>18</w:t>
            </w:r>
            <w:r>
              <w:rPr>
                <w:noProof/>
                <w:webHidden/>
              </w:rPr>
              <w:fldChar w:fldCharType="end"/>
            </w:r>
          </w:hyperlink>
        </w:p>
        <w:p w14:paraId="0BB617BC" w14:textId="719B58CC" w:rsidR="0071278E" w:rsidRDefault="0071278E">
          <w:pPr>
            <w:pStyle w:val="TOC3"/>
            <w:rPr>
              <w:rFonts w:asciiTheme="minorHAnsi" w:hAnsiTheme="minorHAnsi"/>
              <w:noProof/>
              <w:sz w:val="24"/>
              <w:szCs w:val="24"/>
              <w:lang w:eastAsia="en-GB"/>
            </w:rPr>
          </w:pPr>
          <w:hyperlink w:anchor="_Toc181256572" w:history="1">
            <w:r w:rsidRPr="00F10C40">
              <w:rPr>
                <w:rStyle w:val="Hyperlink"/>
                <w:noProof/>
              </w:rPr>
              <w:t>Procedures for initial approach to consent and sample eligible participants</w:t>
            </w:r>
            <w:r>
              <w:rPr>
                <w:noProof/>
                <w:webHidden/>
              </w:rPr>
              <w:tab/>
            </w:r>
            <w:r>
              <w:rPr>
                <w:noProof/>
                <w:webHidden/>
              </w:rPr>
              <w:fldChar w:fldCharType="begin"/>
            </w:r>
            <w:r>
              <w:rPr>
                <w:noProof/>
                <w:webHidden/>
              </w:rPr>
              <w:instrText xml:space="preserve"> PAGEREF _Toc181256572 \h </w:instrText>
            </w:r>
            <w:r>
              <w:rPr>
                <w:noProof/>
                <w:webHidden/>
              </w:rPr>
            </w:r>
            <w:r>
              <w:rPr>
                <w:noProof/>
                <w:webHidden/>
              </w:rPr>
              <w:fldChar w:fldCharType="separate"/>
            </w:r>
            <w:r>
              <w:rPr>
                <w:noProof/>
                <w:webHidden/>
              </w:rPr>
              <w:t>18</w:t>
            </w:r>
            <w:r>
              <w:rPr>
                <w:noProof/>
                <w:webHidden/>
              </w:rPr>
              <w:fldChar w:fldCharType="end"/>
            </w:r>
          </w:hyperlink>
        </w:p>
        <w:p w14:paraId="63B92E08" w14:textId="2F29C37C" w:rsidR="0071278E" w:rsidRDefault="0071278E">
          <w:pPr>
            <w:pStyle w:val="TOC3"/>
            <w:rPr>
              <w:rFonts w:asciiTheme="minorHAnsi" w:hAnsiTheme="minorHAnsi"/>
              <w:noProof/>
              <w:sz w:val="24"/>
              <w:szCs w:val="24"/>
              <w:lang w:eastAsia="en-GB"/>
            </w:rPr>
          </w:pPr>
          <w:hyperlink w:anchor="_Toc181256573" w:history="1">
            <w:r w:rsidRPr="00F10C40">
              <w:rPr>
                <w:rStyle w:val="Hyperlink"/>
                <w:noProof/>
              </w:rPr>
              <w:t>Enrolment procedures for parents of cases</w:t>
            </w:r>
            <w:r>
              <w:rPr>
                <w:noProof/>
                <w:webHidden/>
              </w:rPr>
              <w:tab/>
            </w:r>
            <w:r>
              <w:rPr>
                <w:noProof/>
                <w:webHidden/>
              </w:rPr>
              <w:fldChar w:fldCharType="begin"/>
            </w:r>
            <w:r>
              <w:rPr>
                <w:noProof/>
                <w:webHidden/>
              </w:rPr>
              <w:instrText xml:space="preserve"> PAGEREF _Toc181256573 \h </w:instrText>
            </w:r>
            <w:r>
              <w:rPr>
                <w:noProof/>
                <w:webHidden/>
              </w:rPr>
            </w:r>
            <w:r>
              <w:rPr>
                <w:noProof/>
                <w:webHidden/>
              </w:rPr>
              <w:fldChar w:fldCharType="separate"/>
            </w:r>
            <w:r>
              <w:rPr>
                <w:noProof/>
                <w:webHidden/>
              </w:rPr>
              <w:t>19</w:t>
            </w:r>
            <w:r>
              <w:rPr>
                <w:noProof/>
                <w:webHidden/>
              </w:rPr>
              <w:fldChar w:fldCharType="end"/>
            </w:r>
          </w:hyperlink>
        </w:p>
        <w:p w14:paraId="5227E596" w14:textId="41C2A49B" w:rsidR="0071278E" w:rsidRDefault="0071278E">
          <w:pPr>
            <w:pStyle w:val="TOC3"/>
            <w:rPr>
              <w:rFonts w:asciiTheme="minorHAnsi" w:hAnsiTheme="minorHAnsi"/>
              <w:noProof/>
              <w:sz w:val="24"/>
              <w:szCs w:val="24"/>
              <w:lang w:eastAsia="en-GB"/>
            </w:rPr>
          </w:pPr>
          <w:hyperlink w:anchor="_Toc181256574" w:history="1">
            <w:r w:rsidRPr="00F10C40">
              <w:rPr>
                <w:rStyle w:val="Hyperlink"/>
                <w:noProof/>
              </w:rPr>
              <w:t>Enrolment procedures for patients after death</w:t>
            </w:r>
            <w:r>
              <w:rPr>
                <w:noProof/>
                <w:webHidden/>
              </w:rPr>
              <w:tab/>
            </w:r>
            <w:r>
              <w:rPr>
                <w:noProof/>
                <w:webHidden/>
              </w:rPr>
              <w:fldChar w:fldCharType="begin"/>
            </w:r>
            <w:r>
              <w:rPr>
                <w:noProof/>
                <w:webHidden/>
              </w:rPr>
              <w:instrText xml:space="preserve"> PAGEREF _Toc181256574 \h </w:instrText>
            </w:r>
            <w:r>
              <w:rPr>
                <w:noProof/>
                <w:webHidden/>
              </w:rPr>
            </w:r>
            <w:r>
              <w:rPr>
                <w:noProof/>
                <w:webHidden/>
              </w:rPr>
              <w:fldChar w:fldCharType="separate"/>
            </w:r>
            <w:r>
              <w:rPr>
                <w:noProof/>
                <w:webHidden/>
              </w:rPr>
              <w:t>19</w:t>
            </w:r>
            <w:r>
              <w:rPr>
                <w:noProof/>
                <w:webHidden/>
              </w:rPr>
              <w:fldChar w:fldCharType="end"/>
            </w:r>
          </w:hyperlink>
        </w:p>
        <w:p w14:paraId="5F9F8EEC" w14:textId="60988D40" w:rsidR="0071278E" w:rsidRDefault="0071278E">
          <w:pPr>
            <w:pStyle w:val="TOC3"/>
            <w:rPr>
              <w:rFonts w:asciiTheme="minorHAnsi" w:hAnsiTheme="minorHAnsi"/>
              <w:noProof/>
              <w:sz w:val="24"/>
              <w:szCs w:val="24"/>
              <w:lang w:eastAsia="en-GB"/>
            </w:rPr>
          </w:pPr>
          <w:hyperlink w:anchor="_Toc181256575" w:history="1">
            <w:r w:rsidRPr="00F10C40">
              <w:rPr>
                <w:rStyle w:val="Hyperlink"/>
                <w:noProof/>
              </w:rPr>
              <w:t>Enrolment procedures for retrospectively recruited patients</w:t>
            </w:r>
            <w:r>
              <w:rPr>
                <w:noProof/>
                <w:webHidden/>
              </w:rPr>
              <w:tab/>
            </w:r>
            <w:r>
              <w:rPr>
                <w:noProof/>
                <w:webHidden/>
              </w:rPr>
              <w:fldChar w:fldCharType="begin"/>
            </w:r>
            <w:r>
              <w:rPr>
                <w:noProof/>
                <w:webHidden/>
              </w:rPr>
              <w:instrText xml:space="preserve"> PAGEREF _Toc181256575 \h </w:instrText>
            </w:r>
            <w:r>
              <w:rPr>
                <w:noProof/>
                <w:webHidden/>
              </w:rPr>
            </w:r>
            <w:r>
              <w:rPr>
                <w:noProof/>
                <w:webHidden/>
              </w:rPr>
              <w:fldChar w:fldCharType="separate"/>
            </w:r>
            <w:r>
              <w:rPr>
                <w:noProof/>
                <w:webHidden/>
              </w:rPr>
              <w:t>20</w:t>
            </w:r>
            <w:r>
              <w:rPr>
                <w:noProof/>
                <w:webHidden/>
              </w:rPr>
              <w:fldChar w:fldCharType="end"/>
            </w:r>
          </w:hyperlink>
        </w:p>
        <w:p w14:paraId="073ACF00" w14:textId="1C5F72FE" w:rsidR="0071278E" w:rsidRDefault="0071278E">
          <w:pPr>
            <w:pStyle w:val="TOC3"/>
            <w:rPr>
              <w:rFonts w:asciiTheme="minorHAnsi" w:hAnsiTheme="minorHAnsi"/>
              <w:noProof/>
              <w:sz w:val="24"/>
              <w:szCs w:val="24"/>
              <w:lang w:eastAsia="en-GB"/>
            </w:rPr>
          </w:pPr>
          <w:hyperlink w:anchor="_Toc181256576" w:history="1">
            <w:r w:rsidRPr="00F10C40">
              <w:rPr>
                <w:rStyle w:val="Hyperlink"/>
                <w:noProof/>
              </w:rPr>
              <w:t>Enrolment procedures for volunteers from the community</w:t>
            </w:r>
            <w:r>
              <w:rPr>
                <w:noProof/>
                <w:webHidden/>
              </w:rPr>
              <w:tab/>
            </w:r>
            <w:r>
              <w:rPr>
                <w:noProof/>
                <w:webHidden/>
              </w:rPr>
              <w:fldChar w:fldCharType="begin"/>
            </w:r>
            <w:r>
              <w:rPr>
                <w:noProof/>
                <w:webHidden/>
              </w:rPr>
              <w:instrText xml:space="preserve"> PAGEREF _Toc181256576 \h </w:instrText>
            </w:r>
            <w:r>
              <w:rPr>
                <w:noProof/>
                <w:webHidden/>
              </w:rPr>
            </w:r>
            <w:r>
              <w:rPr>
                <w:noProof/>
                <w:webHidden/>
              </w:rPr>
              <w:fldChar w:fldCharType="separate"/>
            </w:r>
            <w:r>
              <w:rPr>
                <w:noProof/>
                <w:webHidden/>
              </w:rPr>
              <w:t>20</w:t>
            </w:r>
            <w:r>
              <w:rPr>
                <w:noProof/>
                <w:webHidden/>
              </w:rPr>
              <w:fldChar w:fldCharType="end"/>
            </w:r>
          </w:hyperlink>
        </w:p>
        <w:p w14:paraId="7623EF9D" w14:textId="48CD6411" w:rsidR="0071278E" w:rsidRDefault="0071278E">
          <w:pPr>
            <w:pStyle w:val="TOC2"/>
            <w:tabs>
              <w:tab w:val="right" w:leader="dot" w:pos="9350"/>
            </w:tabs>
            <w:rPr>
              <w:rFonts w:asciiTheme="minorHAnsi" w:hAnsiTheme="minorHAnsi"/>
              <w:b w:val="0"/>
              <w:bCs w:val="0"/>
              <w:noProof/>
              <w:sz w:val="24"/>
              <w:szCs w:val="24"/>
              <w:lang w:eastAsia="en-GB"/>
            </w:rPr>
          </w:pPr>
          <w:hyperlink w:anchor="_Toc181256577" w:history="1">
            <w:r w:rsidRPr="00F10C40">
              <w:rPr>
                <w:rStyle w:val="Hyperlink"/>
                <w:noProof/>
              </w:rPr>
              <w:t>Repeat sampling after recovery from critical illness</w:t>
            </w:r>
            <w:r>
              <w:rPr>
                <w:noProof/>
                <w:webHidden/>
              </w:rPr>
              <w:tab/>
            </w:r>
            <w:r>
              <w:rPr>
                <w:noProof/>
                <w:webHidden/>
              </w:rPr>
              <w:fldChar w:fldCharType="begin"/>
            </w:r>
            <w:r>
              <w:rPr>
                <w:noProof/>
                <w:webHidden/>
              </w:rPr>
              <w:instrText xml:space="preserve"> PAGEREF _Toc181256577 \h </w:instrText>
            </w:r>
            <w:r>
              <w:rPr>
                <w:noProof/>
                <w:webHidden/>
              </w:rPr>
            </w:r>
            <w:r>
              <w:rPr>
                <w:noProof/>
                <w:webHidden/>
              </w:rPr>
              <w:fldChar w:fldCharType="separate"/>
            </w:r>
            <w:r>
              <w:rPr>
                <w:noProof/>
                <w:webHidden/>
              </w:rPr>
              <w:t>21</w:t>
            </w:r>
            <w:r>
              <w:rPr>
                <w:noProof/>
                <w:webHidden/>
              </w:rPr>
              <w:fldChar w:fldCharType="end"/>
            </w:r>
          </w:hyperlink>
        </w:p>
        <w:p w14:paraId="5BAC5837" w14:textId="59CD83A8" w:rsidR="0071278E" w:rsidRDefault="0071278E">
          <w:pPr>
            <w:pStyle w:val="TOC3"/>
            <w:rPr>
              <w:rFonts w:asciiTheme="minorHAnsi" w:hAnsiTheme="minorHAnsi"/>
              <w:noProof/>
              <w:sz w:val="24"/>
              <w:szCs w:val="24"/>
              <w:lang w:eastAsia="en-GB"/>
            </w:rPr>
          </w:pPr>
          <w:hyperlink w:anchor="_Toc181256578" w:history="1">
            <w:r w:rsidRPr="00F10C40">
              <w:rPr>
                <w:rStyle w:val="Hyperlink"/>
                <w:noProof/>
              </w:rPr>
              <w:t>Repeat sampling volumes</w:t>
            </w:r>
            <w:r>
              <w:rPr>
                <w:noProof/>
                <w:webHidden/>
              </w:rPr>
              <w:tab/>
            </w:r>
            <w:r>
              <w:rPr>
                <w:noProof/>
                <w:webHidden/>
              </w:rPr>
              <w:fldChar w:fldCharType="begin"/>
            </w:r>
            <w:r>
              <w:rPr>
                <w:noProof/>
                <w:webHidden/>
              </w:rPr>
              <w:instrText xml:space="preserve"> PAGEREF _Toc181256578 \h </w:instrText>
            </w:r>
            <w:r>
              <w:rPr>
                <w:noProof/>
                <w:webHidden/>
              </w:rPr>
            </w:r>
            <w:r>
              <w:rPr>
                <w:noProof/>
                <w:webHidden/>
              </w:rPr>
              <w:fldChar w:fldCharType="separate"/>
            </w:r>
            <w:r>
              <w:rPr>
                <w:noProof/>
                <w:webHidden/>
              </w:rPr>
              <w:t>22</w:t>
            </w:r>
            <w:r>
              <w:rPr>
                <w:noProof/>
                <w:webHidden/>
              </w:rPr>
              <w:fldChar w:fldCharType="end"/>
            </w:r>
          </w:hyperlink>
        </w:p>
        <w:p w14:paraId="7DC10B52" w14:textId="1CAFE24A" w:rsidR="0071278E" w:rsidRDefault="0071278E">
          <w:pPr>
            <w:pStyle w:val="TOC3"/>
            <w:rPr>
              <w:rFonts w:asciiTheme="minorHAnsi" w:hAnsiTheme="minorHAnsi"/>
              <w:noProof/>
              <w:sz w:val="24"/>
              <w:szCs w:val="24"/>
              <w:lang w:eastAsia="en-GB"/>
            </w:rPr>
          </w:pPr>
          <w:hyperlink w:anchor="_Toc181256579" w:history="1">
            <w:r w:rsidRPr="00F10C40">
              <w:rPr>
                <w:rStyle w:val="Hyperlink"/>
                <w:noProof/>
              </w:rPr>
              <w:t>Recurrent sampling</w:t>
            </w:r>
            <w:r>
              <w:rPr>
                <w:noProof/>
                <w:webHidden/>
              </w:rPr>
              <w:tab/>
            </w:r>
            <w:r>
              <w:rPr>
                <w:noProof/>
                <w:webHidden/>
              </w:rPr>
              <w:fldChar w:fldCharType="begin"/>
            </w:r>
            <w:r>
              <w:rPr>
                <w:noProof/>
                <w:webHidden/>
              </w:rPr>
              <w:instrText xml:space="preserve"> PAGEREF _Toc181256579 \h </w:instrText>
            </w:r>
            <w:r>
              <w:rPr>
                <w:noProof/>
                <w:webHidden/>
              </w:rPr>
            </w:r>
            <w:r>
              <w:rPr>
                <w:noProof/>
                <w:webHidden/>
              </w:rPr>
              <w:fldChar w:fldCharType="separate"/>
            </w:r>
            <w:r>
              <w:rPr>
                <w:noProof/>
                <w:webHidden/>
              </w:rPr>
              <w:t>22</w:t>
            </w:r>
            <w:r>
              <w:rPr>
                <w:noProof/>
                <w:webHidden/>
              </w:rPr>
              <w:fldChar w:fldCharType="end"/>
            </w:r>
          </w:hyperlink>
        </w:p>
        <w:p w14:paraId="71DC44B8" w14:textId="01523FF8" w:rsidR="0071278E" w:rsidRDefault="0071278E">
          <w:pPr>
            <w:pStyle w:val="TOC2"/>
            <w:tabs>
              <w:tab w:val="right" w:leader="dot" w:pos="9350"/>
            </w:tabs>
            <w:rPr>
              <w:rFonts w:asciiTheme="minorHAnsi" w:hAnsiTheme="minorHAnsi"/>
              <w:b w:val="0"/>
              <w:bCs w:val="0"/>
              <w:noProof/>
              <w:sz w:val="24"/>
              <w:szCs w:val="24"/>
              <w:lang w:eastAsia="en-GB"/>
            </w:rPr>
          </w:pPr>
          <w:hyperlink w:anchor="_Toc181256580" w:history="1">
            <w:r w:rsidRPr="00F10C40">
              <w:rPr>
                <w:rStyle w:val="Hyperlink"/>
                <w:noProof/>
              </w:rPr>
              <w:t>Withdrawal from the study</w:t>
            </w:r>
            <w:r>
              <w:rPr>
                <w:noProof/>
                <w:webHidden/>
              </w:rPr>
              <w:tab/>
            </w:r>
            <w:r>
              <w:rPr>
                <w:noProof/>
                <w:webHidden/>
              </w:rPr>
              <w:fldChar w:fldCharType="begin"/>
            </w:r>
            <w:r>
              <w:rPr>
                <w:noProof/>
                <w:webHidden/>
              </w:rPr>
              <w:instrText xml:space="preserve"> PAGEREF _Toc181256580 \h </w:instrText>
            </w:r>
            <w:r>
              <w:rPr>
                <w:noProof/>
                <w:webHidden/>
              </w:rPr>
            </w:r>
            <w:r>
              <w:rPr>
                <w:noProof/>
                <w:webHidden/>
              </w:rPr>
              <w:fldChar w:fldCharType="separate"/>
            </w:r>
            <w:r>
              <w:rPr>
                <w:noProof/>
                <w:webHidden/>
              </w:rPr>
              <w:t>22</w:t>
            </w:r>
            <w:r>
              <w:rPr>
                <w:noProof/>
                <w:webHidden/>
              </w:rPr>
              <w:fldChar w:fldCharType="end"/>
            </w:r>
          </w:hyperlink>
        </w:p>
        <w:p w14:paraId="2A453178" w14:textId="0D742835" w:rsidR="0071278E" w:rsidRDefault="0071278E">
          <w:pPr>
            <w:pStyle w:val="TOC2"/>
            <w:tabs>
              <w:tab w:val="right" w:leader="dot" w:pos="9350"/>
            </w:tabs>
            <w:rPr>
              <w:rFonts w:asciiTheme="minorHAnsi" w:hAnsiTheme="minorHAnsi"/>
              <w:b w:val="0"/>
              <w:bCs w:val="0"/>
              <w:noProof/>
              <w:sz w:val="24"/>
              <w:szCs w:val="24"/>
              <w:lang w:eastAsia="en-GB"/>
            </w:rPr>
          </w:pPr>
          <w:hyperlink w:anchor="_Toc181256581" w:history="1">
            <w:r w:rsidRPr="00F10C40">
              <w:rPr>
                <w:rStyle w:val="Hyperlink"/>
                <w:noProof/>
              </w:rPr>
              <w:t>Statistical analysis</w:t>
            </w:r>
            <w:r>
              <w:rPr>
                <w:noProof/>
                <w:webHidden/>
              </w:rPr>
              <w:tab/>
            </w:r>
            <w:r>
              <w:rPr>
                <w:noProof/>
                <w:webHidden/>
              </w:rPr>
              <w:fldChar w:fldCharType="begin"/>
            </w:r>
            <w:r>
              <w:rPr>
                <w:noProof/>
                <w:webHidden/>
              </w:rPr>
              <w:instrText xml:space="preserve"> PAGEREF _Toc181256581 \h </w:instrText>
            </w:r>
            <w:r>
              <w:rPr>
                <w:noProof/>
                <w:webHidden/>
              </w:rPr>
            </w:r>
            <w:r>
              <w:rPr>
                <w:noProof/>
                <w:webHidden/>
              </w:rPr>
              <w:fldChar w:fldCharType="separate"/>
            </w:r>
            <w:r>
              <w:rPr>
                <w:noProof/>
                <w:webHidden/>
              </w:rPr>
              <w:t>23</w:t>
            </w:r>
            <w:r>
              <w:rPr>
                <w:noProof/>
                <w:webHidden/>
              </w:rPr>
              <w:fldChar w:fldCharType="end"/>
            </w:r>
          </w:hyperlink>
        </w:p>
        <w:p w14:paraId="3B878E5A" w14:textId="10133145"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82" w:history="1">
            <w:r w:rsidRPr="00F10C40">
              <w:rPr>
                <w:rStyle w:val="Hyperlink"/>
                <w:noProof/>
              </w:rPr>
              <w:t>Study management</w:t>
            </w:r>
            <w:r>
              <w:rPr>
                <w:noProof/>
                <w:webHidden/>
              </w:rPr>
              <w:tab/>
            </w:r>
            <w:r>
              <w:rPr>
                <w:noProof/>
                <w:webHidden/>
              </w:rPr>
              <w:fldChar w:fldCharType="begin"/>
            </w:r>
            <w:r>
              <w:rPr>
                <w:noProof/>
                <w:webHidden/>
              </w:rPr>
              <w:instrText xml:space="preserve"> PAGEREF _Toc181256582 \h </w:instrText>
            </w:r>
            <w:r>
              <w:rPr>
                <w:noProof/>
                <w:webHidden/>
              </w:rPr>
            </w:r>
            <w:r>
              <w:rPr>
                <w:noProof/>
                <w:webHidden/>
              </w:rPr>
              <w:fldChar w:fldCharType="separate"/>
            </w:r>
            <w:r>
              <w:rPr>
                <w:noProof/>
                <w:webHidden/>
              </w:rPr>
              <w:t>23</w:t>
            </w:r>
            <w:r>
              <w:rPr>
                <w:noProof/>
                <w:webHidden/>
              </w:rPr>
              <w:fldChar w:fldCharType="end"/>
            </w:r>
          </w:hyperlink>
        </w:p>
        <w:p w14:paraId="5A6CF0A7" w14:textId="74C31399" w:rsidR="0071278E" w:rsidRDefault="0071278E">
          <w:pPr>
            <w:pStyle w:val="TOC2"/>
            <w:tabs>
              <w:tab w:val="right" w:leader="dot" w:pos="9350"/>
            </w:tabs>
            <w:rPr>
              <w:rFonts w:asciiTheme="minorHAnsi" w:hAnsiTheme="minorHAnsi"/>
              <w:b w:val="0"/>
              <w:bCs w:val="0"/>
              <w:noProof/>
              <w:sz w:val="24"/>
              <w:szCs w:val="24"/>
              <w:lang w:eastAsia="en-GB"/>
            </w:rPr>
          </w:pPr>
          <w:hyperlink w:anchor="_Toc181256583" w:history="1">
            <w:r w:rsidRPr="00F10C40">
              <w:rPr>
                <w:rStyle w:val="Hyperlink"/>
                <w:noProof/>
              </w:rPr>
              <w:t>Data collection</w:t>
            </w:r>
            <w:r>
              <w:rPr>
                <w:noProof/>
                <w:webHidden/>
              </w:rPr>
              <w:tab/>
            </w:r>
            <w:r>
              <w:rPr>
                <w:noProof/>
                <w:webHidden/>
              </w:rPr>
              <w:fldChar w:fldCharType="begin"/>
            </w:r>
            <w:r>
              <w:rPr>
                <w:noProof/>
                <w:webHidden/>
              </w:rPr>
              <w:instrText xml:space="preserve"> PAGEREF _Toc181256583 \h </w:instrText>
            </w:r>
            <w:r>
              <w:rPr>
                <w:noProof/>
                <w:webHidden/>
              </w:rPr>
            </w:r>
            <w:r>
              <w:rPr>
                <w:noProof/>
                <w:webHidden/>
              </w:rPr>
              <w:fldChar w:fldCharType="separate"/>
            </w:r>
            <w:r>
              <w:rPr>
                <w:noProof/>
                <w:webHidden/>
              </w:rPr>
              <w:t>23</w:t>
            </w:r>
            <w:r>
              <w:rPr>
                <w:noProof/>
                <w:webHidden/>
              </w:rPr>
              <w:fldChar w:fldCharType="end"/>
            </w:r>
          </w:hyperlink>
        </w:p>
        <w:p w14:paraId="20592E55" w14:textId="5BBCDB28" w:rsidR="0071278E" w:rsidRDefault="0071278E">
          <w:pPr>
            <w:pStyle w:val="TOC2"/>
            <w:tabs>
              <w:tab w:val="right" w:leader="dot" w:pos="9350"/>
            </w:tabs>
            <w:rPr>
              <w:rFonts w:asciiTheme="minorHAnsi" w:hAnsiTheme="minorHAnsi"/>
              <w:b w:val="0"/>
              <w:bCs w:val="0"/>
              <w:noProof/>
              <w:sz w:val="24"/>
              <w:szCs w:val="24"/>
              <w:lang w:eastAsia="en-GB"/>
            </w:rPr>
          </w:pPr>
          <w:hyperlink w:anchor="_Toc181256584" w:history="1">
            <w:r w:rsidRPr="00F10C40">
              <w:rPr>
                <w:rStyle w:val="Hyperlink"/>
                <w:noProof/>
              </w:rPr>
              <w:t>Data Management</w:t>
            </w:r>
            <w:r>
              <w:rPr>
                <w:noProof/>
                <w:webHidden/>
              </w:rPr>
              <w:tab/>
            </w:r>
            <w:r>
              <w:rPr>
                <w:noProof/>
                <w:webHidden/>
              </w:rPr>
              <w:fldChar w:fldCharType="begin"/>
            </w:r>
            <w:r>
              <w:rPr>
                <w:noProof/>
                <w:webHidden/>
              </w:rPr>
              <w:instrText xml:space="preserve"> PAGEREF _Toc181256584 \h </w:instrText>
            </w:r>
            <w:r>
              <w:rPr>
                <w:noProof/>
                <w:webHidden/>
              </w:rPr>
            </w:r>
            <w:r>
              <w:rPr>
                <w:noProof/>
                <w:webHidden/>
              </w:rPr>
              <w:fldChar w:fldCharType="separate"/>
            </w:r>
            <w:r>
              <w:rPr>
                <w:noProof/>
                <w:webHidden/>
              </w:rPr>
              <w:t>23</w:t>
            </w:r>
            <w:r>
              <w:rPr>
                <w:noProof/>
                <w:webHidden/>
              </w:rPr>
              <w:fldChar w:fldCharType="end"/>
            </w:r>
          </w:hyperlink>
        </w:p>
        <w:p w14:paraId="1853296E" w14:textId="568B0E97" w:rsidR="0071278E" w:rsidRDefault="0071278E">
          <w:pPr>
            <w:pStyle w:val="TOC2"/>
            <w:tabs>
              <w:tab w:val="right" w:leader="dot" w:pos="9350"/>
            </w:tabs>
            <w:rPr>
              <w:rFonts w:asciiTheme="minorHAnsi" w:hAnsiTheme="minorHAnsi"/>
              <w:b w:val="0"/>
              <w:bCs w:val="0"/>
              <w:noProof/>
              <w:sz w:val="24"/>
              <w:szCs w:val="24"/>
              <w:lang w:eastAsia="en-GB"/>
            </w:rPr>
          </w:pPr>
          <w:hyperlink w:anchor="_Toc181256585" w:history="1">
            <w:r w:rsidRPr="00F10C40">
              <w:rPr>
                <w:rStyle w:val="Hyperlink"/>
                <w:noProof/>
              </w:rPr>
              <w:t>Medical management and safety reporting</w:t>
            </w:r>
            <w:r>
              <w:rPr>
                <w:noProof/>
                <w:webHidden/>
              </w:rPr>
              <w:tab/>
            </w:r>
            <w:r>
              <w:rPr>
                <w:noProof/>
                <w:webHidden/>
              </w:rPr>
              <w:fldChar w:fldCharType="begin"/>
            </w:r>
            <w:r>
              <w:rPr>
                <w:noProof/>
                <w:webHidden/>
              </w:rPr>
              <w:instrText xml:space="preserve"> PAGEREF _Toc181256585 \h </w:instrText>
            </w:r>
            <w:r>
              <w:rPr>
                <w:noProof/>
                <w:webHidden/>
              </w:rPr>
            </w:r>
            <w:r>
              <w:rPr>
                <w:noProof/>
                <w:webHidden/>
              </w:rPr>
              <w:fldChar w:fldCharType="separate"/>
            </w:r>
            <w:r>
              <w:rPr>
                <w:noProof/>
                <w:webHidden/>
              </w:rPr>
              <w:t>24</w:t>
            </w:r>
            <w:r>
              <w:rPr>
                <w:noProof/>
                <w:webHidden/>
              </w:rPr>
              <w:fldChar w:fldCharType="end"/>
            </w:r>
          </w:hyperlink>
        </w:p>
        <w:p w14:paraId="49691D6E" w14:textId="43405F9A" w:rsidR="0071278E" w:rsidRDefault="0071278E">
          <w:pPr>
            <w:pStyle w:val="TOC2"/>
            <w:tabs>
              <w:tab w:val="right" w:leader="dot" w:pos="9350"/>
            </w:tabs>
            <w:rPr>
              <w:rFonts w:asciiTheme="minorHAnsi" w:hAnsiTheme="minorHAnsi"/>
              <w:b w:val="0"/>
              <w:bCs w:val="0"/>
              <w:noProof/>
              <w:sz w:val="24"/>
              <w:szCs w:val="24"/>
              <w:lang w:eastAsia="en-GB"/>
            </w:rPr>
          </w:pPr>
          <w:hyperlink w:anchor="_Toc181256586" w:history="1">
            <w:r w:rsidRPr="00F10C40">
              <w:rPr>
                <w:rStyle w:val="Hyperlink"/>
                <w:noProof/>
              </w:rPr>
              <w:t>Data and materials access committee</w:t>
            </w:r>
            <w:r>
              <w:rPr>
                <w:noProof/>
                <w:webHidden/>
              </w:rPr>
              <w:tab/>
            </w:r>
            <w:r>
              <w:rPr>
                <w:noProof/>
                <w:webHidden/>
              </w:rPr>
              <w:fldChar w:fldCharType="begin"/>
            </w:r>
            <w:r>
              <w:rPr>
                <w:noProof/>
                <w:webHidden/>
              </w:rPr>
              <w:instrText xml:space="preserve"> PAGEREF _Toc181256586 \h </w:instrText>
            </w:r>
            <w:r>
              <w:rPr>
                <w:noProof/>
                <w:webHidden/>
              </w:rPr>
            </w:r>
            <w:r>
              <w:rPr>
                <w:noProof/>
                <w:webHidden/>
              </w:rPr>
              <w:fldChar w:fldCharType="separate"/>
            </w:r>
            <w:r>
              <w:rPr>
                <w:noProof/>
                <w:webHidden/>
              </w:rPr>
              <w:t>24</w:t>
            </w:r>
            <w:r>
              <w:rPr>
                <w:noProof/>
                <w:webHidden/>
              </w:rPr>
              <w:fldChar w:fldCharType="end"/>
            </w:r>
          </w:hyperlink>
        </w:p>
        <w:p w14:paraId="609ACED7" w14:textId="0D89B2F7" w:rsidR="0071278E" w:rsidRDefault="0071278E">
          <w:pPr>
            <w:pStyle w:val="TOC2"/>
            <w:tabs>
              <w:tab w:val="right" w:leader="dot" w:pos="9350"/>
            </w:tabs>
            <w:rPr>
              <w:rFonts w:asciiTheme="minorHAnsi" w:hAnsiTheme="minorHAnsi"/>
              <w:b w:val="0"/>
              <w:bCs w:val="0"/>
              <w:noProof/>
              <w:sz w:val="24"/>
              <w:szCs w:val="24"/>
              <w:lang w:eastAsia="en-GB"/>
            </w:rPr>
          </w:pPr>
          <w:hyperlink w:anchor="_Toc181256587" w:history="1">
            <w:r w:rsidRPr="00F10C40">
              <w:rPr>
                <w:rStyle w:val="Hyperlink"/>
                <w:noProof/>
              </w:rPr>
              <w:t>Protected data and materials</w:t>
            </w:r>
            <w:r>
              <w:rPr>
                <w:noProof/>
                <w:webHidden/>
              </w:rPr>
              <w:tab/>
            </w:r>
            <w:r>
              <w:rPr>
                <w:noProof/>
                <w:webHidden/>
              </w:rPr>
              <w:fldChar w:fldCharType="begin"/>
            </w:r>
            <w:r>
              <w:rPr>
                <w:noProof/>
                <w:webHidden/>
              </w:rPr>
              <w:instrText xml:space="preserve"> PAGEREF _Toc181256587 \h </w:instrText>
            </w:r>
            <w:r>
              <w:rPr>
                <w:noProof/>
                <w:webHidden/>
              </w:rPr>
            </w:r>
            <w:r>
              <w:rPr>
                <w:noProof/>
                <w:webHidden/>
              </w:rPr>
              <w:fldChar w:fldCharType="separate"/>
            </w:r>
            <w:r>
              <w:rPr>
                <w:noProof/>
                <w:webHidden/>
              </w:rPr>
              <w:t>24</w:t>
            </w:r>
            <w:r>
              <w:rPr>
                <w:noProof/>
                <w:webHidden/>
              </w:rPr>
              <w:fldChar w:fldCharType="end"/>
            </w:r>
          </w:hyperlink>
        </w:p>
        <w:p w14:paraId="2DFDEBB1" w14:textId="6E1D2F0D" w:rsidR="0071278E" w:rsidRDefault="0071278E">
          <w:pPr>
            <w:pStyle w:val="TOC2"/>
            <w:tabs>
              <w:tab w:val="right" w:leader="dot" w:pos="9350"/>
            </w:tabs>
            <w:rPr>
              <w:rFonts w:asciiTheme="minorHAnsi" w:hAnsiTheme="minorHAnsi"/>
              <w:b w:val="0"/>
              <w:bCs w:val="0"/>
              <w:noProof/>
              <w:sz w:val="24"/>
              <w:szCs w:val="24"/>
              <w:lang w:eastAsia="en-GB"/>
            </w:rPr>
          </w:pPr>
          <w:hyperlink w:anchor="_Toc181256588" w:history="1">
            <w:r w:rsidRPr="00F10C40">
              <w:rPr>
                <w:rStyle w:val="Hyperlink"/>
                <w:noProof/>
              </w:rPr>
              <w:t>Materials access</w:t>
            </w:r>
            <w:r>
              <w:rPr>
                <w:noProof/>
                <w:webHidden/>
              </w:rPr>
              <w:tab/>
            </w:r>
            <w:r>
              <w:rPr>
                <w:noProof/>
                <w:webHidden/>
              </w:rPr>
              <w:fldChar w:fldCharType="begin"/>
            </w:r>
            <w:r>
              <w:rPr>
                <w:noProof/>
                <w:webHidden/>
              </w:rPr>
              <w:instrText xml:space="preserve"> PAGEREF _Toc181256588 \h </w:instrText>
            </w:r>
            <w:r>
              <w:rPr>
                <w:noProof/>
                <w:webHidden/>
              </w:rPr>
            </w:r>
            <w:r>
              <w:rPr>
                <w:noProof/>
                <w:webHidden/>
              </w:rPr>
              <w:fldChar w:fldCharType="separate"/>
            </w:r>
            <w:r>
              <w:rPr>
                <w:noProof/>
                <w:webHidden/>
              </w:rPr>
              <w:t>24</w:t>
            </w:r>
            <w:r>
              <w:rPr>
                <w:noProof/>
                <w:webHidden/>
              </w:rPr>
              <w:fldChar w:fldCharType="end"/>
            </w:r>
          </w:hyperlink>
        </w:p>
        <w:p w14:paraId="0147BA20" w14:textId="433731CF" w:rsidR="0071278E" w:rsidRDefault="0071278E">
          <w:pPr>
            <w:pStyle w:val="TOC2"/>
            <w:tabs>
              <w:tab w:val="right" w:leader="dot" w:pos="9350"/>
            </w:tabs>
            <w:rPr>
              <w:rFonts w:asciiTheme="minorHAnsi" w:hAnsiTheme="minorHAnsi"/>
              <w:b w:val="0"/>
              <w:bCs w:val="0"/>
              <w:noProof/>
              <w:sz w:val="24"/>
              <w:szCs w:val="24"/>
              <w:lang w:eastAsia="en-GB"/>
            </w:rPr>
          </w:pPr>
          <w:hyperlink w:anchor="_Toc181256589" w:history="1">
            <w:r w:rsidRPr="00F10C40">
              <w:rPr>
                <w:rStyle w:val="Hyperlink"/>
                <w:noProof/>
              </w:rPr>
              <w:t>Data access</w:t>
            </w:r>
            <w:r>
              <w:rPr>
                <w:noProof/>
                <w:webHidden/>
              </w:rPr>
              <w:tab/>
            </w:r>
            <w:r>
              <w:rPr>
                <w:noProof/>
                <w:webHidden/>
              </w:rPr>
              <w:fldChar w:fldCharType="begin"/>
            </w:r>
            <w:r>
              <w:rPr>
                <w:noProof/>
                <w:webHidden/>
              </w:rPr>
              <w:instrText xml:space="preserve"> PAGEREF _Toc181256589 \h </w:instrText>
            </w:r>
            <w:r>
              <w:rPr>
                <w:noProof/>
                <w:webHidden/>
              </w:rPr>
            </w:r>
            <w:r>
              <w:rPr>
                <w:noProof/>
                <w:webHidden/>
              </w:rPr>
              <w:fldChar w:fldCharType="separate"/>
            </w:r>
            <w:r>
              <w:rPr>
                <w:noProof/>
                <w:webHidden/>
              </w:rPr>
              <w:t>24</w:t>
            </w:r>
            <w:r>
              <w:rPr>
                <w:noProof/>
                <w:webHidden/>
              </w:rPr>
              <w:fldChar w:fldCharType="end"/>
            </w:r>
          </w:hyperlink>
        </w:p>
        <w:p w14:paraId="37BC026A" w14:textId="010A3A4A" w:rsidR="0071278E" w:rsidRDefault="0071278E">
          <w:pPr>
            <w:pStyle w:val="TOC2"/>
            <w:tabs>
              <w:tab w:val="right" w:leader="dot" w:pos="9350"/>
            </w:tabs>
            <w:rPr>
              <w:rFonts w:asciiTheme="minorHAnsi" w:hAnsiTheme="minorHAnsi"/>
              <w:b w:val="0"/>
              <w:bCs w:val="0"/>
              <w:noProof/>
              <w:sz w:val="24"/>
              <w:szCs w:val="24"/>
              <w:lang w:eastAsia="en-GB"/>
            </w:rPr>
          </w:pPr>
          <w:hyperlink w:anchor="_Toc181256590" w:history="1">
            <w:r w:rsidRPr="00F10C40">
              <w:rPr>
                <w:rStyle w:val="Hyperlink"/>
                <w:noProof/>
              </w:rPr>
              <w:t>Future use of samples</w:t>
            </w:r>
            <w:r>
              <w:rPr>
                <w:noProof/>
                <w:webHidden/>
              </w:rPr>
              <w:tab/>
            </w:r>
            <w:r>
              <w:rPr>
                <w:noProof/>
                <w:webHidden/>
              </w:rPr>
              <w:fldChar w:fldCharType="begin"/>
            </w:r>
            <w:r>
              <w:rPr>
                <w:noProof/>
                <w:webHidden/>
              </w:rPr>
              <w:instrText xml:space="preserve"> PAGEREF _Toc181256590 \h </w:instrText>
            </w:r>
            <w:r>
              <w:rPr>
                <w:noProof/>
                <w:webHidden/>
              </w:rPr>
            </w:r>
            <w:r>
              <w:rPr>
                <w:noProof/>
                <w:webHidden/>
              </w:rPr>
              <w:fldChar w:fldCharType="separate"/>
            </w:r>
            <w:r>
              <w:rPr>
                <w:noProof/>
                <w:webHidden/>
              </w:rPr>
              <w:t>24</w:t>
            </w:r>
            <w:r>
              <w:rPr>
                <w:noProof/>
                <w:webHidden/>
              </w:rPr>
              <w:fldChar w:fldCharType="end"/>
            </w:r>
          </w:hyperlink>
        </w:p>
        <w:p w14:paraId="42B57D77" w14:textId="7FB09C53"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591" w:history="1">
            <w:r w:rsidRPr="00F10C40">
              <w:rPr>
                <w:rStyle w:val="Hyperlink"/>
                <w:noProof/>
              </w:rPr>
              <w:t>Ethical considerations</w:t>
            </w:r>
            <w:r>
              <w:rPr>
                <w:noProof/>
                <w:webHidden/>
              </w:rPr>
              <w:tab/>
            </w:r>
            <w:r>
              <w:rPr>
                <w:noProof/>
                <w:webHidden/>
              </w:rPr>
              <w:fldChar w:fldCharType="begin"/>
            </w:r>
            <w:r>
              <w:rPr>
                <w:noProof/>
                <w:webHidden/>
              </w:rPr>
              <w:instrText xml:space="preserve"> PAGEREF _Toc181256591 \h </w:instrText>
            </w:r>
            <w:r>
              <w:rPr>
                <w:noProof/>
                <w:webHidden/>
              </w:rPr>
            </w:r>
            <w:r>
              <w:rPr>
                <w:noProof/>
                <w:webHidden/>
              </w:rPr>
              <w:fldChar w:fldCharType="separate"/>
            </w:r>
            <w:r>
              <w:rPr>
                <w:noProof/>
                <w:webHidden/>
              </w:rPr>
              <w:t>25</w:t>
            </w:r>
            <w:r>
              <w:rPr>
                <w:noProof/>
                <w:webHidden/>
              </w:rPr>
              <w:fldChar w:fldCharType="end"/>
            </w:r>
          </w:hyperlink>
        </w:p>
        <w:p w14:paraId="479B252F" w14:textId="6C5E3CBD" w:rsidR="0071278E" w:rsidRDefault="0071278E">
          <w:pPr>
            <w:pStyle w:val="TOC2"/>
            <w:tabs>
              <w:tab w:val="right" w:leader="dot" w:pos="9350"/>
            </w:tabs>
            <w:rPr>
              <w:rFonts w:asciiTheme="minorHAnsi" w:hAnsiTheme="minorHAnsi"/>
              <w:b w:val="0"/>
              <w:bCs w:val="0"/>
              <w:noProof/>
              <w:sz w:val="24"/>
              <w:szCs w:val="24"/>
              <w:lang w:eastAsia="en-GB"/>
            </w:rPr>
          </w:pPr>
          <w:hyperlink w:anchor="_Toc181256592" w:history="1">
            <w:r w:rsidRPr="00F10C40">
              <w:rPr>
                <w:rStyle w:val="Hyperlink"/>
                <w:noProof/>
              </w:rPr>
              <w:t>Informed consent</w:t>
            </w:r>
            <w:r>
              <w:rPr>
                <w:noProof/>
                <w:webHidden/>
              </w:rPr>
              <w:tab/>
            </w:r>
            <w:r>
              <w:rPr>
                <w:noProof/>
                <w:webHidden/>
              </w:rPr>
              <w:fldChar w:fldCharType="begin"/>
            </w:r>
            <w:r>
              <w:rPr>
                <w:noProof/>
                <w:webHidden/>
              </w:rPr>
              <w:instrText xml:space="preserve"> PAGEREF _Toc181256592 \h </w:instrText>
            </w:r>
            <w:r>
              <w:rPr>
                <w:noProof/>
                <w:webHidden/>
              </w:rPr>
            </w:r>
            <w:r>
              <w:rPr>
                <w:noProof/>
                <w:webHidden/>
              </w:rPr>
              <w:fldChar w:fldCharType="separate"/>
            </w:r>
            <w:r>
              <w:rPr>
                <w:noProof/>
                <w:webHidden/>
              </w:rPr>
              <w:t>25</w:t>
            </w:r>
            <w:r>
              <w:rPr>
                <w:noProof/>
                <w:webHidden/>
              </w:rPr>
              <w:fldChar w:fldCharType="end"/>
            </w:r>
          </w:hyperlink>
        </w:p>
        <w:p w14:paraId="25EE4595" w14:textId="3A945C39" w:rsidR="0071278E" w:rsidRDefault="0071278E">
          <w:pPr>
            <w:pStyle w:val="TOC3"/>
            <w:rPr>
              <w:rFonts w:asciiTheme="minorHAnsi" w:hAnsiTheme="minorHAnsi"/>
              <w:noProof/>
              <w:sz w:val="24"/>
              <w:szCs w:val="24"/>
              <w:lang w:eastAsia="en-GB"/>
            </w:rPr>
          </w:pPr>
          <w:hyperlink w:anchor="_Toc181256593" w:history="1">
            <w:r w:rsidRPr="00F10C40">
              <w:rPr>
                <w:rStyle w:val="Hyperlink"/>
                <w:noProof/>
              </w:rPr>
              <w:t>Patients unable to consent for themselves</w:t>
            </w:r>
            <w:r>
              <w:rPr>
                <w:noProof/>
                <w:webHidden/>
              </w:rPr>
              <w:tab/>
            </w:r>
            <w:r>
              <w:rPr>
                <w:noProof/>
                <w:webHidden/>
              </w:rPr>
              <w:fldChar w:fldCharType="begin"/>
            </w:r>
            <w:r>
              <w:rPr>
                <w:noProof/>
                <w:webHidden/>
              </w:rPr>
              <w:instrText xml:space="preserve"> PAGEREF _Toc181256593 \h </w:instrText>
            </w:r>
            <w:r>
              <w:rPr>
                <w:noProof/>
                <w:webHidden/>
              </w:rPr>
            </w:r>
            <w:r>
              <w:rPr>
                <w:noProof/>
                <w:webHidden/>
              </w:rPr>
              <w:fldChar w:fldCharType="separate"/>
            </w:r>
            <w:r>
              <w:rPr>
                <w:noProof/>
                <w:webHidden/>
              </w:rPr>
              <w:t>25</w:t>
            </w:r>
            <w:r>
              <w:rPr>
                <w:noProof/>
                <w:webHidden/>
              </w:rPr>
              <w:fldChar w:fldCharType="end"/>
            </w:r>
          </w:hyperlink>
        </w:p>
        <w:p w14:paraId="40F01FDF" w14:textId="588FD7CB" w:rsidR="0071278E" w:rsidRDefault="0071278E">
          <w:pPr>
            <w:pStyle w:val="TOC3"/>
            <w:rPr>
              <w:rFonts w:asciiTheme="minorHAnsi" w:hAnsiTheme="minorHAnsi"/>
              <w:noProof/>
              <w:sz w:val="24"/>
              <w:szCs w:val="24"/>
              <w:lang w:eastAsia="en-GB"/>
            </w:rPr>
          </w:pPr>
          <w:hyperlink w:anchor="_Toc181256594" w:history="1">
            <w:r w:rsidRPr="00F10C40">
              <w:rPr>
                <w:rStyle w:val="Hyperlink"/>
                <w:noProof/>
              </w:rPr>
              <w:t>Immediate consent / immediate declaration</w:t>
            </w:r>
            <w:r>
              <w:rPr>
                <w:noProof/>
                <w:webHidden/>
              </w:rPr>
              <w:tab/>
            </w:r>
            <w:r>
              <w:rPr>
                <w:noProof/>
                <w:webHidden/>
              </w:rPr>
              <w:fldChar w:fldCharType="begin"/>
            </w:r>
            <w:r>
              <w:rPr>
                <w:noProof/>
                <w:webHidden/>
              </w:rPr>
              <w:instrText xml:space="preserve"> PAGEREF _Toc181256594 \h </w:instrText>
            </w:r>
            <w:r>
              <w:rPr>
                <w:noProof/>
                <w:webHidden/>
              </w:rPr>
            </w:r>
            <w:r>
              <w:rPr>
                <w:noProof/>
                <w:webHidden/>
              </w:rPr>
              <w:fldChar w:fldCharType="separate"/>
            </w:r>
            <w:r>
              <w:rPr>
                <w:noProof/>
                <w:webHidden/>
              </w:rPr>
              <w:t>26</w:t>
            </w:r>
            <w:r>
              <w:rPr>
                <w:noProof/>
                <w:webHidden/>
              </w:rPr>
              <w:fldChar w:fldCharType="end"/>
            </w:r>
          </w:hyperlink>
        </w:p>
        <w:p w14:paraId="5703976F" w14:textId="58F13661" w:rsidR="0071278E" w:rsidRDefault="0071278E">
          <w:pPr>
            <w:pStyle w:val="TOC3"/>
            <w:rPr>
              <w:rFonts w:asciiTheme="minorHAnsi" w:hAnsiTheme="minorHAnsi"/>
              <w:noProof/>
              <w:sz w:val="24"/>
              <w:szCs w:val="24"/>
              <w:lang w:eastAsia="en-GB"/>
            </w:rPr>
          </w:pPr>
          <w:hyperlink w:anchor="_Toc181256595" w:history="1">
            <w:r w:rsidRPr="00F10C40">
              <w:rPr>
                <w:rStyle w:val="Hyperlink"/>
                <w:noProof/>
              </w:rPr>
              <w:t>Deferred consent</w:t>
            </w:r>
            <w:r>
              <w:rPr>
                <w:noProof/>
                <w:webHidden/>
              </w:rPr>
              <w:tab/>
            </w:r>
            <w:r>
              <w:rPr>
                <w:noProof/>
                <w:webHidden/>
              </w:rPr>
              <w:fldChar w:fldCharType="begin"/>
            </w:r>
            <w:r>
              <w:rPr>
                <w:noProof/>
                <w:webHidden/>
              </w:rPr>
              <w:instrText xml:space="preserve"> PAGEREF _Toc181256595 \h </w:instrText>
            </w:r>
            <w:r>
              <w:rPr>
                <w:noProof/>
                <w:webHidden/>
              </w:rPr>
            </w:r>
            <w:r>
              <w:rPr>
                <w:noProof/>
                <w:webHidden/>
              </w:rPr>
              <w:fldChar w:fldCharType="separate"/>
            </w:r>
            <w:r>
              <w:rPr>
                <w:noProof/>
                <w:webHidden/>
              </w:rPr>
              <w:t>26</w:t>
            </w:r>
            <w:r>
              <w:rPr>
                <w:noProof/>
                <w:webHidden/>
              </w:rPr>
              <w:fldChar w:fldCharType="end"/>
            </w:r>
          </w:hyperlink>
        </w:p>
        <w:p w14:paraId="3FD56CF8" w14:textId="002C9DBE" w:rsidR="0071278E" w:rsidRDefault="0071278E">
          <w:pPr>
            <w:pStyle w:val="TOC3"/>
            <w:rPr>
              <w:rFonts w:asciiTheme="minorHAnsi" w:hAnsiTheme="minorHAnsi"/>
              <w:noProof/>
              <w:sz w:val="24"/>
              <w:szCs w:val="24"/>
              <w:lang w:eastAsia="en-GB"/>
            </w:rPr>
          </w:pPr>
          <w:hyperlink w:anchor="_Toc181256596" w:history="1">
            <w:r w:rsidRPr="00F10C40">
              <w:rPr>
                <w:rStyle w:val="Hyperlink"/>
                <w:noProof/>
              </w:rPr>
              <w:t>Antenatal consent</w:t>
            </w:r>
            <w:r>
              <w:rPr>
                <w:noProof/>
                <w:webHidden/>
              </w:rPr>
              <w:tab/>
            </w:r>
            <w:r>
              <w:rPr>
                <w:noProof/>
                <w:webHidden/>
              </w:rPr>
              <w:fldChar w:fldCharType="begin"/>
            </w:r>
            <w:r>
              <w:rPr>
                <w:noProof/>
                <w:webHidden/>
              </w:rPr>
              <w:instrText xml:space="preserve"> PAGEREF _Toc181256596 \h </w:instrText>
            </w:r>
            <w:r>
              <w:rPr>
                <w:noProof/>
                <w:webHidden/>
              </w:rPr>
            </w:r>
            <w:r>
              <w:rPr>
                <w:noProof/>
                <w:webHidden/>
              </w:rPr>
              <w:fldChar w:fldCharType="separate"/>
            </w:r>
            <w:r>
              <w:rPr>
                <w:noProof/>
                <w:webHidden/>
              </w:rPr>
              <w:t>26</w:t>
            </w:r>
            <w:r>
              <w:rPr>
                <w:noProof/>
                <w:webHidden/>
              </w:rPr>
              <w:fldChar w:fldCharType="end"/>
            </w:r>
          </w:hyperlink>
        </w:p>
        <w:p w14:paraId="79C2324B" w14:textId="21647D45" w:rsidR="0071278E" w:rsidRDefault="0071278E">
          <w:pPr>
            <w:pStyle w:val="TOC3"/>
            <w:rPr>
              <w:rFonts w:asciiTheme="minorHAnsi" w:hAnsiTheme="minorHAnsi"/>
              <w:noProof/>
              <w:sz w:val="24"/>
              <w:szCs w:val="24"/>
              <w:lang w:eastAsia="en-GB"/>
            </w:rPr>
          </w:pPr>
          <w:hyperlink w:anchor="_Toc181256597" w:history="1">
            <w:r w:rsidRPr="00F10C40">
              <w:rPr>
                <w:rStyle w:val="Hyperlink"/>
                <w:noProof/>
              </w:rPr>
              <w:t>Telephone consent / immediate declaration</w:t>
            </w:r>
            <w:r>
              <w:rPr>
                <w:noProof/>
                <w:webHidden/>
              </w:rPr>
              <w:tab/>
            </w:r>
            <w:r>
              <w:rPr>
                <w:noProof/>
                <w:webHidden/>
              </w:rPr>
              <w:fldChar w:fldCharType="begin"/>
            </w:r>
            <w:r>
              <w:rPr>
                <w:noProof/>
                <w:webHidden/>
              </w:rPr>
              <w:instrText xml:space="preserve"> PAGEREF _Toc181256597 \h </w:instrText>
            </w:r>
            <w:r>
              <w:rPr>
                <w:noProof/>
                <w:webHidden/>
              </w:rPr>
            </w:r>
            <w:r>
              <w:rPr>
                <w:noProof/>
                <w:webHidden/>
              </w:rPr>
              <w:fldChar w:fldCharType="separate"/>
            </w:r>
            <w:r>
              <w:rPr>
                <w:noProof/>
                <w:webHidden/>
              </w:rPr>
              <w:t>26</w:t>
            </w:r>
            <w:r>
              <w:rPr>
                <w:noProof/>
                <w:webHidden/>
              </w:rPr>
              <w:fldChar w:fldCharType="end"/>
            </w:r>
          </w:hyperlink>
        </w:p>
        <w:p w14:paraId="2A105D09" w14:textId="6FCE8571" w:rsidR="0071278E" w:rsidRDefault="0071278E">
          <w:pPr>
            <w:pStyle w:val="TOC3"/>
            <w:rPr>
              <w:rFonts w:asciiTheme="minorHAnsi" w:hAnsiTheme="minorHAnsi"/>
              <w:noProof/>
              <w:sz w:val="24"/>
              <w:szCs w:val="24"/>
              <w:lang w:eastAsia="en-GB"/>
            </w:rPr>
          </w:pPr>
          <w:hyperlink w:anchor="_Toc181256598" w:history="1">
            <w:r w:rsidRPr="00F10C40">
              <w:rPr>
                <w:rStyle w:val="Hyperlink"/>
                <w:noProof/>
              </w:rPr>
              <w:t>Online consent for control volunteers in the community</w:t>
            </w:r>
            <w:r>
              <w:rPr>
                <w:noProof/>
                <w:webHidden/>
              </w:rPr>
              <w:tab/>
            </w:r>
            <w:r>
              <w:rPr>
                <w:noProof/>
                <w:webHidden/>
              </w:rPr>
              <w:fldChar w:fldCharType="begin"/>
            </w:r>
            <w:r>
              <w:rPr>
                <w:noProof/>
                <w:webHidden/>
              </w:rPr>
              <w:instrText xml:space="preserve"> PAGEREF _Toc181256598 \h </w:instrText>
            </w:r>
            <w:r>
              <w:rPr>
                <w:noProof/>
                <w:webHidden/>
              </w:rPr>
            </w:r>
            <w:r>
              <w:rPr>
                <w:noProof/>
                <w:webHidden/>
              </w:rPr>
              <w:fldChar w:fldCharType="separate"/>
            </w:r>
            <w:r>
              <w:rPr>
                <w:noProof/>
                <w:webHidden/>
              </w:rPr>
              <w:t>27</w:t>
            </w:r>
            <w:r>
              <w:rPr>
                <w:noProof/>
                <w:webHidden/>
              </w:rPr>
              <w:fldChar w:fldCharType="end"/>
            </w:r>
          </w:hyperlink>
        </w:p>
        <w:p w14:paraId="50CDEA6D" w14:textId="54B608CE" w:rsidR="0071278E" w:rsidRDefault="0071278E">
          <w:pPr>
            <w:pStyle w:val="TOC2"/>
            <w:tabs>
              <w:tab w:val="right" w:leader="dot" w:pos="9350"/>
            </w:tabs>
            <w:rPr>
              <w:rFonts w:asciiTheme="minorHAnsi" w:hAnsiTheme="minorHAnsi"/>
              <w:b w:val="0"/>
              <w:bCs w:val="0"/>
              <w:noProof/>
              <w:sz w:val="24"/>
              <w:szCs w:val="24"/>
              <w:lang w:eastAsia="en-GB"/>
            </w:rPr>
          </w:pPr>
          <w:hyperlink w:anchor="_Toc181256599" w:history="1">
            <w:r w:rsidRPr="00F10C40">
              <w:rPr>
                <w:rStyle w:val="Hyperlink"/>
                <w:noProof/>
              </w:rPr>
              <w:t>Risks to participants</w:t>
            </w:r>
            <w:r>
              <w:rPr>
                <w:noProof/>
                <w:webHidden/>
              </w:rPr>
              <w:tab/>
            </w:r>
            <w:r>
              <w:rPr>
                <w:noProof/>
                <w:webHidden/>
              </w:rPr>
              <w:fldChar w:fldCharType="begin"/>
            </w:r>
            <w:r>
              <w:rPr>
                <w:noProof/>
                <w:webHidden/>
              </w:rPr>
              <w:instrText xml:space="preserve"> PAGEREF _Toc181256599 \h </w:instrText>
            </w:r>
            <w:r>
              <w:rPr>
                <w:noProof/>
                <w:webHidden/>
              </w:rPr>
            </w:r>
            <w:r>
              <w:rPr>
                <w:noProof/>
                <w:webHidden/>
              </w:rPr>
              <w:fldChar w:fldCharType="separate"/>
            </w:r>
            <w:r>
              <w:rPr>
                <w:noProof/>
                <w:webHidden/>
              </w:rPr>
              <w:t>27</w:t>
            </w:r>
            <w:r>
              <w:rPr>
                <w:noProof/>
                <w:webHidden/>
              </w:rPr>
              <w:fldChar w:fldCharType="end"/>
            </w:r>
          </w:hyperlink>
        </w:p>
        <w:p w14:paraId="06A72E5E" w14:textId="0808339B" w:rsidR="0071278E" w:rsidRDefault="0071278E">
          <w:pPr>
            <w:pStyle w:val="TOC3"/>
            <w:rPr>
              <w:rFonts w:asciiTheme="minorHAnsi" w:hAnsiTheme="minorHAnsi"/>
              <w:noProof/>
              <w:sz w:val="24"/>
              <w:szCs w:val="24"/>
              <w:lang w:eastAsia="en-GB"/>
            </w:rPr>
          </w:pPr>
          <w:hyperlink w:anchor="_Toc181256600" w:history="1">
            <w:r w:rsidRPr="00F10C40">
              <w:rPr>
                <w:rStyle w:val="Hyperlink"/>
                <w:noProof/>
              </w:rPr>
              <w:t>Inconvenience</w:t>
            </w:r>
            <w:r>
              <w:rPr>
                <w:noProof/>
                <w:webHidden/>
              </w:rPr>
              <w:tab/>
            </w:r>
            <w:r>
              <w:rPr>
                <w:noProof/>
                <w:webHidden/>
              </w:rPr>
              <w:fldChar w:fldCharType="begin"/>
            </w:r>
            <w:r>
              <w:rPr>
                <w:noProof/>
                <w:webHidden/>
              </w:rPr>
              <w:instrText xml:space="preserve"> PAGEREF _Toc181256600 \h </w:instrText>
            </w:r>
            <w:r>
              <w:rPr>
                <w:noProof/>
                <w:webHidden/>
              </w:rPr>
            </w:r>
            <w:r>
              <w:rPr>
                <w:noProof/>
                <w:webHidden/>
              </w:rPr>
              <w:fldChar w:fldCharType="separate"/>
            </w:r>
            <w:r>
              <w:rPr>
                <w:noProof/>
                <w:webHidden/>
              </w:rPr>
              <w:t>27</w:t>
            </w:r>
            <w:r>
              <w:rPr>
                <w:noProof/>
                <w:webHidden/>
              </w:rPr>
              <w:fldChar w:fldCharType="end"/>
            </w:r>
          </w:hyperlink>
        </w:p>
        <w:p w14:paraId="56AA8CA9" w14:textId="05441325" w:rsidR="0071278E" w:rsidRDefault="0071278E">
          <w:pPr>
            <w:pStyle w:val="TOC3"/>
            <w:rPr>
              <w:rFonts w:asciiTheme="minorHAnsi" w:hAnsiTheme="minorHAnsi"/>
              <w:noProof/>
              <w:sz w:val="24"/>
              <w:szCs w:val="24"/>
              <w:lang w:eastAsia="en-GB"/>
            </w:rPr>
          </w:pPr>
          <w:hyperlink w:anchor="_Toc181256601" w:history="1">
            <w:r w:rsidRPr="00F10C40">
              <w:rPr>
                <w:rStyle w:val="Hyperlink"/>
                <w:noProof/>
              </w:rPr>
              <w:t>Phlebotomy</w:t>
            </w:r>
            <w:r>
              <w:rPr>
                <w:noProof/>
                <w:webHidden/>
              </w:rPr>
              <w:tab/>
            </w:r>
            <w:r>
              <w:rPr>
                <w:noProof/>
                <w:webHidden/>
              </w:rPr>
              <w:fldChar w:fldCharType="begin"/>
            </w:r>
            <w:r>
              <w:rPr>
                <w:noProof/>
                <w:webHidden/>
              </w:rPr>
              <w:instrText xml:space="preserve"> PAGEREF _Toc181256601 \h </w:instrText>
            </w:r>
            <w:r>
              <w:rPr>
                <w:noProof/>
                <w:webHidden/>
              </w:rPr>
            </w:r>
            <w:r>
              <w:rPr>
                <w:noProof/>
                <w:webHidden/>
              </w:rPr>
              <w:fldChar w:fldCharType="separate"/>
            </w:r>
            <w:r>
              <w:rPr>
                <w:noProof/>
                <w:webHidden/>
              </w:rPr>
              <w:t>27</w:t>
            </w:r>
            <w:r>
              <w:rPr>
                <w:noProof/>
                <w:webHidden/>
              </w:rPr>
              <w:fldChar w:fldCharType="end"/>
            </w:r>
          </w:hyperlink>
        </w:p>
        <w:p w14:paraId="67E3184B" w14:textId="0EAEC855" w:rsidR="0071278E" w:rsidRDefault="0071278E">
          <w:pPr>
            <w:pStyle w:val="TOC3"/>
            <w:rPr>
              <w:rFonts w:asciiTheme="minorHAnsi" w:hAnsiTheme="minorHAnsi"/>
              <w:noProof/>
              <w:sz w:val="24"/>
              <w:szCs w:val="24"/>
              <w:lang w:eastAsia="en-GB"/>
            </w:rPr>
          </w:pPr>
          <w:hyperlink w:anchor="_Toc181256602" w:history="1">
            <w:r w:rsidRPr="00F10C40">
              <w:rPr>
                <w:rStyle w:val="Hyperlink"/>
                <w:noProof/>
              </w:rPr>
              <w:t>Clinically-actionable findings in genetic testing</w:t>
            </w:r>
            <w:r>
              <w:rPr>
                <w:noProof/>
                <w:webHidden/>
              </w:rPr>
              <w:tab/>
            </w:r>
            <w:r>
              <w:rPr>
                <w:noProof/>
                <w:webHidden/>
              </w:rPr>
              <w:fldChar w:fldCharType="begin"/>
            </w:r>
            <w:r>
              <w:rPr>
                <w:noProof/>
                <w:webHidden/>
              </w:rPr>
              <w:instrText xml:space="preserve"> PAGEREF _Toc181256602 \h </w:instrText>
            </w:r>
            <w:r>
              <w:rPr>
                <w:noProof/>
                <w:webHidden/>
              </w:rPr>
            </w:r>
            <w:r>
              <w:rPr>
                <w:noProof/>
                <w:webHidden/>
              </w:rPr>
              <w:fldChar w:fldCharType="separate"/>
            </w:r>
            <w:r>
              <w:rPr>
                <w:noProof/>
                <w:webHidden/>
              </w:rPr>
              <w:t>27</w:t>
            </w:r>
            <w:r>
              <w:rPr>
                <w:noProof/>
                <w:webHidden/>
              </w:rPr>
              <w:fldChar w:fldCharType="end"/>
            </w:r>
          </w:hyperlink>
        </w:p>
        <w:p w14:paraId="0E27DA7A" w14:textId="01397F8B" w:rsidR="0071278E" w:rsidRDefault="0071278E">
          <w:pPr>
            <w:pStyle w:val="TOC3"/>
            <w:rPr>
              <w:rFonts w:asciiTheme="minorHAnsi" w:hAnsiTheme="minorHAnsi"/>
              <w:noProof/>
              <w:sz w:val="24"/>
              <w:szCs w:val="24"/>
              <w:lang w:eastAsia="en-GB"/>
            </w:rPr>
          </w:pPr>
          <w:hyperlink w:anchor="_Toc181256603" w:history="1">
            <w:r w:rsidRPr="00F10C40">
              <w:rPr>
                <w:rStyle w:val="Hyperlink"/>
                <w:noProof/>
              </w:rPr>
              <w:t>Benefits to participants</w:t>
            </w:r>
            <w:r>
              <w:rPr>
                <w:noProof/>
                <w:webHidden/>
              </w:rPr>
              <w:tab/>
            </w:r>
            <w:r>
              <w:rPr>
                <w:noProof/>
                <w:webHidden/>
              </w:rPr>
              <w:fldChar w:fldCharType="begin"/>
            </w:r>
            <w:r>
              <w:rPr>
                <w:noProof/>
                <w:webHidden/>
              </w:rPr>
              <w:instrText xml:space="preserve"> PAGEREF _Toc181256603 \h </w:instrText>
            </w:r>
            <w:r>
              <w:rPr>
                <w:noProof/>
                <w:webHidden/>
              </w:rPr>
            </w:r>
            <w:r>
              <w:rPr>
                <w:noProof/>
                <w:webHidden/>
              </w:rPr>
              <w:fldChar w:fldCharType="separate"/>
            </w:r>
            <w:r>
              <w:rPr>
                <w:noProof/>
                <w:webHidden/>
              </w:rPr>
              <w:t>28</w:t>
            </w:r>
            <w:r>
              <w:rPr>
                <w:noProof/>
                <w:webHidden/>
              </w:rPr>
              <w:fldChar w:fldCharType="end"/>
            </w:r>
          </w:hyperlink>
        </w:p>
        <w:p w14:paraId="29F53D02" w14:textId="41FD23BB" w:rsidR="0071278E" w:rsidRDefault="0071278E">
          <w:pPr>
            <w:pStyle w:val="TOC2"/>
            <w:tabs>
              <w:tab w:val="right" w:leader="dot" w:pos="9350"/>
            </w:tabs>
            <w:rPr>
              <w:rFonts w:asciiTheme="minorHAnsi" w:hAnsiTheme="minorHAnsi"/>
              <w:b w:val="0"/>
              <w:bCs w:val="0"/>
              <w:noProof/>
              <w:sz w:val="24"/>
              <w:szCs w:val="24"/>
              <w:lang w:eastAsia="en-GB"/>
            </w:rPr>
          </w:pPr>
          <w:hyperlink w:anchor="_Toc181256604" w:history="1">
            <w:r w:rsidRPr="00F10C40">
              <w:rPr>
                <w:rStyle w:val="Hyperlink"/>
                <w:noProof/>
              </w:rPr>
              <w:t>Participation in other research studies (co-enrolment)</w:t>
            </w:r>
            <w:r>
              <w:rPr>
                <w:noProof/>
                <w:webHidden/>
              </w:rPr>
              <w:tab/>
            </w:r>
            <w:r>
              <w:rPr>
                <w:noProof/>
                <w:webHidden/>
              </w:rPr>
              <w:fldChar w:fldCharType="begin"/>
            </w:r>
            <w:r>
              <w:rPr>
                <w:noProof/>
                <w:webHidden/>
              </w:rPr>
              <w:instrText xml:space="preserve"> PAGEREF _Toc181256604 \h </w:instrText>
            </w:r>
            <w:r>
              <w:rPr>
                <w:noProof/>
                <w:webHidden/>
              </w:rPr>
            </w:r>
            <w:r>
              <w:rPr>
                <w:noProof/>
                <w:webHidden/>
              </w:rPr>
              <w:fldChar w:fldCharType="separate"/>
            </w:r>
            <w:r>
              <w:rPr>
                <w:noProof/>
                <w:webHidden/>
              </w:rPr>
              <w:t>28</w:t>
            </w:r>
            <w:r>
              <w:rPr>
                <w:noProof/>
                <w:webHidden/>
              </w:rPr>
              <w:fldChar w:fldCharType="end"/>
            </w:r>
          </w:hyperlink>
        </w:p>
        <w:p w14:paraId="40324287" w14:textId="495338BB" w:rsidR="0071278E" w:rsidRDefault="0071278E">
          <w:pPr>
            <w:pStyle w:val="TOC2"/>
            <w:tabs>
              <w:tab w:val="right" w:leader="dot" w:pos="9350"/>
            </w:tabs>
            <w:rPr>
              <w:rFonts w:asciiTheme="minorHAnsi" w:hAnsiTheme="minorHAnsi"/>
              <w:b w:val="0"/>
              <w:bCs w:val="0"/>
              <w:noProof/>
              <w:sz w:val="24"/>
              <w:szCs w:val="24"/>
              <w:lang w:eastAsia="en-GB"/>
            </w:rPr>
          </w:pPr>
          <w:hyperlink w:anchor="_Toc181256605" w:history="1">
            <w:r w:rsidRPr="00F10C40">
              <w:rPr>
                <w:rStyle w:val="Hyperlink"/>
                <w:noProof/>
              </w:rPr>
              <w:t>Confidentiality</w:t>
            </w:r>
            <w:r>
              <w:rPr>
                <w:noProof/>
                <w:webHidden/>
              </w:rPr>
              <w:tab/>
            </w:r>
            <w:r>
              <w:rPr>
                <w:noProof/>
                <w:webHidden/>
              </w:rPr>
              <w:fldChar w:fldCharType="begin"/>
            </w:r>
            <w:r>
              <w:rPr>
                <w:noProof/>
                <w:webHidden/>
              </w:rPr>
              <w:instrText xml:space="preserve"> PAGEREF _Toc181256605 \h </w:instrText>
            </w:r>
            <w:r>
              <w:rPr>
                <w:noProof/>
                <w:webHidden/>
              </w:rPr>
            </w:r>
            <w:r>
              <w:rPr>
                <w:noProof/>
                <w:webHidden/>
              </w:rPr>
              <w:fldChar w:fldCharType="separate"/>
            </w:r>
            <w:r>
              <w:rPr>
                <w:noProof/>
                <w:webHidden/>
              </w:rPr>
              <w:t>28</w:t>
            </w:r>
            <w:r>
              <w:rPr>
                <w:noProof/>
                <w:webHidden/>
              </w:rPr>
              <w:fldChar w:fldCharType="end"/>
            </w:r>
          </w:hyperlink>
        </w:p>
        <w:p w14:paraId="632F15D9" w14:textId="680C64ED" w:rsidR="0071278E" w:rsidRDefault="0071278E">
          <w:pPr>
            <w:pStyle w:val="TOC2"/>
            <w:tabs>
              <w:tab w:val="right" w:leader="dot" w:pos="9350"/>
            </w:tabs>
            <w:rPr>
              <w:rFonts w:asciiTheme="minorHAnsi" w:hAnsiTheme="minorHAnsi"/>
              <w:b w:val="0"/>
              <w:bCs w:val="0"/>
              <w:noProof/>
              <w:sz w:val="24"/>
              <w:szCs w:val="24"/>
              <w:lang w:eastAsia="en-GB"/>
            </w:rPr>
          </w:pPr>
          <w:hyperlink w:anchor="_Toc181256606" w:history="1">
            <w:r w:rsidRPr="00F10C40">
              <w:rPr>
                <w:rStyle w:val="Hyperlink"/>
                <w:noProof/>
              </w:rPr>
              <w:t>Scientific and peer review</w:t>
            </w:r>
            <w:r>
              <w:rPr>
                <w:noProof/>
                <w:webHidden/>
              </w:rPr>
              <w:tab/>
            </w:r>
            <w:r>
              <w:rPr>
                <w:noProof/>
                <w:webHidden/>
              </w:rPr>
              <w:fldChar w:fldCharType="begin"/>
            </w:r>
            <w:r>
              <w:rPr>
                <w:noProof/>
                <w:webHidden/>
              </w:rPr>
              <w:instrText xml:space="preserve"> PAGEREF _Toc181256606 \h </w:instrText>
            </w:r>
            <w:r>
              <w:rPr>
                <w:noProof/>
                <w:webHidden/>
              </w:rPr>
            </w:r>
            <w:r>
              <w:rPr>
                <w:noProof/>
                <w:webHidden/>
              </w:rPr>
              <w:fldChar w:fldCharType="separate"/>
            </w:r>
            <w:r>
              <w:rPr>
                <w:noProof/>
                <w:webHidden/>
              </w:rPr>
              <w:t>29</w:t>
            </w:r>
            <w:r>
              <w:rPr>
                <w:noProof/>
                <w:webHidden/>
              </w:rPr>
              <w:fldChar w:fldCharType="end"/>
            </w:r>
          </w:hyperlink>
        </w:p>
        <w:p w14:paraId="206619C0" w14:textId="1781666D" w:rsidR="0071278E" w:rsidRDefault="0071278E">
          <w:pPr>
            <w:pStyle w:val="TOC1"/>
            <w:tabs>
              <w:tab w:val="right" w:leader="dot" w:pos="9350"/>
            </w:tabs>
            <w:rPr>
              <w:rFonts w:asciiTheme="minorHAnsi" w:hAnsiTheme="minorHAnsi" w:cstheme="minorBidi"/>
              <w:b w:val="0"/>
              <w:bCs w:val="0"/>
              <w:iCs w:val="0"/>
              <w:noProof/>
              <w:szCs w:val="24"/>
              <w:lang w:eastAsia="en-GB"/>
            </w:rPr>
          </w:pPr>
          <w:hyperlink w:anchor="_Toc181256607" w:history="1">
            <w:r w:rsidRPr="00F10C40">
              <w:rPr>
                <w:rStyle w:val="Hyperlink"/>
                <w:noProof/>
              </w:rPr>
              <w:t>References</w:t>
            </w:r>
            <w:r>
              <w:rPr>
                <w:noProof/>
                <w:webHidden/>
              </w:rPr>
              <w:tab/>
            </w:r>
            <w:r>
              <w:rPr>
                <w:noProof/>
                <w:webHidden/>
              </w:rPr>
              <w:fldChar w:fldCharType="begin"/>
            </w:r>
            <w:r>
              <w:rPr>
                <w:noProof/>
                <w:webHidden/>
              </w:rPr>
              <w:instrText xml:space="preserve"> PAGEREF _Toc181256607 \h </w:instrText>
            </w:r>
            <w:r>
              <w:rPr>
                <w:noProof/>
                <w:webHidden/>
              </w:rPr>
            </w:r>
            <w:r>
              <w:rPr>
                <w:noProof/>
                <w:webHidden/>
              </w:rPr>
              <w:fldChar w:fldCharType="separate"/>
            </w:r>
            <w:r>
              <w:rPr>
                <w:noProof/>
                <w:webHidden/>
              </w:rPr>
              <w:t>30</w:t>
            </w:r>
            <w:r>
              <w:rPr>
                <w:noProof/>
                <w:webHidden/>
              </w:rPr>
              <w:fldChar w:fldCharType="end"/>
            </w:r>
          </w:hyperlink>
        </w:p>
        <w:p w14:paraId="35DC76ED" w14:textId="07F68E28" w:rsidR="00E47C26" w:rsidRDefault="00E47C26" w:rsidP="7706D474">
          <w:pPr>
            <w:pStyle w:val="TOC2"/>
            <w:tabs>
              <w:tab w:val="right" w:leader="dot" w:pos="9360"/>
            </w:tabs>
            <w:rPr>
              <w:rStyle w:val="Hyperlink"/>
              <w:noProof/>
              <w:lang w:eastAsia="en-GB"/>
            </w:rPr>
          </w:pPr>
          <w:r>
            <w:fldChar w:fldCharType="end"/>
          </w:r>
        </w:p>
      </w:sdtContent>
    </w:sdt>
    <w:p w14:paraId="6F597F98" w14:textId="65CB20F6" w:rsidR="008359C6" w:rsidRPr="003279FA" w:rsidRDefault="008359C6" w:rsidP="00EF5657">
      <w:pPr>
        <w:pStyle w:val="BodyText"/>
      </w:pPr>
    </w:p>
    <w:p w14:paraId="5780D883" w14:textId="77777777" w:rsidR="008359C6" w:rsidRPr="00B60C83" w:rsidRDefault="008359C6" w:rsidP="00B60C83">
      <w:pPr>
        <w:pStyle w:val="BodyText"/>
      </w:pPr>
      <w:r w:rsidRPr="003279FA">
        <w:br w:type="page"/>
      </w:r>
    </w:p>
    <w:p w14:paraId="04FF01D2" w14:textId="1378C4A2" w:rsidR="00FF2DC5" w:rsidRPr="00757219" w:rsidRDefault="007F3FAD" w:rsidP="00757219">
      <w:pPr>
        <w:pStyle w:val="Heading1"/>
      </w:pPr>
      <w:bookmarkStart w:id="2" w:name="_Toc156378657"/>
      <w:bookmarkStart w:id="3" w:name="_Toc181256532"/>
      <w:r w:rsidRPr="7706D474">
        <w:lastRenderedPageBreak/>
        <w:t>Protocol</w:t>
      </w:r>
      <w:r w:rsidR="00577725" w:rsidRPr="7706D474">
        <w:t xml:space="preserve"> authors and study staff</w:t>
      </w:r>
      <w:bookmarkEnd w:id="2"/>
      <w:bookmarkEnd w:id="3"/>
    </w:p>
    <w:p w14:paraId="45F57BCD" w14:textId="4378CB8A" w:rsidR="00FF2DC5" w:rsidRPr="00D34C58" w:rsidRDefault="00577725" w:rsidP="00A61CA6">
      <w:pPr>
        <w:pStyle w:val="BodyText"/>
      </w:pPr>
      <w:r w:rsidRPr="00D34C58">
        <w:t>This</w:t>
      </w:r>
      <w:r w:rsidR="006F178E" w:rsidRPr="00D34C58">
        <w:t xml:space="preserve"> version of the</w:t>
      </w:r>
      <w:r w:rsidRPr="00D34C58">
        <w:t xml:space="preserve"> protocol was written by:</w:t>
      </w:r>
    </w:p>
    <w:p w14:paraId="0C2537D7" w14:textId="0952C275" w:rsidR="00DC6F3F" w:rsidRPr="00572A93" w:rsidRDefault="00E61775" w:rsidP="00572A93">
      <w:pPr>
        <w:rPr>
          <w:rFonts w:ascii="Times New Roman" w:hAnsi="Times New Roman"/>
          <w:sz w:val="24"/>
        </w:rPr>
      </w:pPr>
      <w:r w:rsidRPr="00492BC8">
        <w:rPr>
          <w:rStyle w:val="Person"/>
        </w:rPr>
        <w:t>Prof</w:t>
      </w:r>
      <w:r w:rsidR="00DC6F3F" w:rsidRPr="00492BC8">
        <w:rPr>
          <w:rStyle w:val="Person"/>
        </w:rPr>
        <w:t xml:space="preserve"> JK Baillie</w:t>
      </w:r>
      <w:r w:rsidR="00DC6F3F" w:rsidRPr="00492BC8">
        <w:t xml:space="preserve"> (Chief Investigator, University of Edinburgh), </w:t>
      </w:r>
      <w:r w:rsidR="00EB28C1" w:rsidRPr="00492BC8">
        <w:rPr>
          <w:rStyle w:val="Person"/>
        </w:rPr>
        <w:t>Ms F Griffiths</w:t>
      </w:r>
      <w:r w:rsidR="00EB28C1" w:rsidRPr="00492BC8">
        <w:t xml:space="preserve"> (University of Edinburgh), </w:t>
      </w:r>
      <w:r w:rsidR="00DC6F3F" w:rsidRPr="00492BC8">
        <w:rPr>
          <w:rStyle w:val="Person"/>
        </w:rPr>
        <w:t xml:space="preserve">Dr S </w:t>
      </w:r>
      <w:proofErr w:type="spellStart"/>
      <w:r w:rsidR="00DC6F3F" w:rsidRPr="00492BC8">
        <w:rPr>
          <w:rStyle w:val="Person"/>
        </w:rPr>
        <w:t>Clohisey</w:t>
      </w:r>
      <w:proofErr w:type="spellEnd"/>
      <w:r w:rsidR="00DC6F3F" w:rsidRPr="00492BC8">
        <w:t xml:space="preserve"> (University of Edinburgh), </w:t>
      </w:r>
      <w:r w:rsidR="00DC6F3F" w:rsidRPr="00492BC8">
        <w:rPr>
          <w:rStyle w:val="Person"/>
        </w:rPr>
        <w:t>Dr A Law</w:t>
      </w:r>
      <w:r w:rsidR="00DC6F3F" w:rsidRPr="00492BC8">
        <w:t xml:space="preserve"> (University of Edinburgh), </w:t>
      </w:r>
      <w:r w:rsidR="00DC6F3F" w:rsidRPr="00492BC8">
        <w:rPr>
          <w:rStyle w:val="Person"/>
        </w:rPr>
        <w:t>Dr N Parkinson</w:t>
      </w:r>
      <w:r w:rsidR="00DC6F3F" w:rsidRPr="00492BC8">
        <w:t xml:space="preserve"> (University of Edinburgh), </w:t>
      </w:r>
      <w:r w:rsidR="00D42B9C" w:rsidRPr="00492BC8">
        <w:rPr>
          <w:rStyle w:val="Person"/>
        </w:rPr>
        <w:t>Mr</w:t>
      </w:r>
      <w:r w:rsidR="00DC6F3F" w:rsidRPr="00492BC8">
        <w:rPr>
          <w:rStyle w:val="Person"/>
        </w:rPr>
        <w:t xml:space="preserve"> L Murphy</w:t>
      </w:r>
      <w:r w:rsidR="00DC6F3F" w:rsidRPr="00492BC8">
        <w:t xml:space="preserve"> (University of Edinburgh)</w:t>
      </w:r>
      <w:r w:rsidR="00883AAF">
        <w:t xml:space="preserve">, </w:t>
      </w:r>
      <w:r w:rsidR="00883AAF" w:rsidRPr="00572A93">
        <w:rPr>
          <w:b/>
          <w:bCs/>
        </w:rPr>
        <w:t xml:space="preserve">Mr Edward </w:t>
      </w:r>
      <w:proofErr w:type="spellStart"/>
      <w:r w:rsidR="00883AAF" w:rsidRPr="00572A93">
        <w:rPr>
          <w:b/>
          <w:bCs/>
        </w:rPr>
        <w:t>Rippingale</w:t>
      </w:r>
      <w:proofErr w:type="spellEnd"/>
      <w:r w:rsidR="00883AAF" w:rsidRPr="00572A93">
        <w:rPr>
          <w:b/>
          <w:bCs/>
        </w:rPr>
        <w:t>-Combes</w:t>
      </w:r>
      <w:r w:rsidR="00883AAF">
        <w:rPr>
          <w:b/>
          <w:bCs/>
        </w:rPr>
        <w:t xml:space="preserve"> (East Surrey Hospital).</w:t>
      </w:r>
    </w:p>
    <w:p w14:paraId="623C13AE" w14:textId="75C88B22" w:rsidR="00FF2DC5" w:rsidRPr="003279FA" w:rsidRDefault="00577725" w:rsidP="00572A93">
      <w:pPr>
        <w:pStyle w:val="BodyText"/>
        <w:jc w:val="left"/>
      </w:pPr>
      <w:r w:rsidRPr="003279FA">
        <w:t xml:space="preserve">Chief Investigator: </w:t>
      </w:r>
      <w:r w:rsidR="00E95E4C" w:rsidRPr="00492BC8">
        <w:rPr>
          <w:rStyle w:val="Person"/>
        </w:rPr>
        <w:t>Prof</w:t>
      </w:r>
      <w:r w:rsidRPr="00492BC8">
        <w:rPr>
          <w:rStyle w:val="Person"/>
        </w:rPr>
        <w:t xml:space="preserve"> JK Baillie</w:t>
      </w:r>
      <w:r w:rsidRPr="003279FA">
        <w:t>, The Roslin Institute, Easter Bush, Midlothian EH25 9RG. Phone 0131 651 9100.</w:t>
      </w:r>
    </w:p>
    <w:p w14:paraId="35CBD45A" w14:textId="6F5ED4AA" w:rsidR="00FF2DC5" w:rsidRPr="00492BC8" w:rsidRDefault="00577725" w:rsidP="00572A93">
      <w:pPr>
        <w:pStyle w:val="BodyText"/>
        <w:jc w:val="left"/>
      </w:pPr>
      <w:r w:rsidRPr="00492BC8">
        <w:t xml:space="preserve">Study Coordinator: </w:t>
      </w:r>
      <w:r w:rsidRPr="00492BC8">
        <w:rPr>
          <w:rStyle w:val="Person"/>
        </w:rPr>
        <w:t>Fiona Griffiths</w:t>
      </w:r>
      <w:r w:rsidRPr="00492BC8">
        <w:t>, University of Edinburg</w:t>
      </w:r>
      <w:r w:rsidR="005F4D66" w:rsidRPr="00492BC8">
        <w:t>h</w:t>
      </w:r>
      <w:r w:rsidR="007F47D0" w:rsidRPr="00492BC8">
        <w:t xml:space="preserve"> (</w:t>
      </w:r>
      <w:hyperlink r:id="rId19" w:history="1">
        <w:r w:rsidR="007F47D0" w:rsidRPr="00492BC8">
          <w:rPr>
            <w:rStyle w:val="Hyperlink"/>
            <w:b w:val="0"/>
            <w:bCs w:val="0"/>
            <w:color w:val="auto"/>
            <w:sz w:val="22"/>
            <w:szCs w:val="20"/>
          </w:rPr>
          <w:t>genomicc@roslin.ed.ac.uk</w:t>
        </w:r>
      </w:hyperlink>
      <w:r w:rsidR="007F47D0" w:rsidRPr="00492BC8">
        <w:t>)</w:t>
      </w:r>
    </w:p>
    <w:p w14:paraId="2983EEF3" w14:textId="77777777" w:rsidR="00492BC8" w:rsidRPr="00492BC8" w:rsidRDefault="00577725" w:rsidP="00572A93">
      <w:pPr>
        <w:pStyle w:val="BodyText"/>
        <w:jc w:val="left"/>
      </w:pPr>
      <w:r w:rsidRPr="00492BC8">
        <w:t>Sponsors: University of Edinburgh and NHS Lothian Health Board.</w:t>
      </w:r>
    </w:p>
    <w:p w14:paraId="679E47E0" w14:textId="3785F7E5" w:rsidR="00FF2DC5" w:rsidRPr="00492BC8" w:rsidRDefault="00577725" w:rsidP="00572A93">
      <w:pPr>
        <w:pStyle w:val="BodyText"/>
        <w:jc w:val="left"/>
      </w:pPr>
      <w:r w:rsidRPr="00492BC8">
        <w:t>Sponsors</w:t>
      </w:r>
      <w:r w:rsidR="007D22CC" w:rsidRPr="00492BC8">
        <w:t>’</w:t>
      </w:r>
      <w:r w:rsidRPr="00492BC8">
        <w:t xml:space="preserve"> representative: </w:t>
      </w:r>
      <w:r w:rsidR="00F42E70" w:rsidRPr="00492BC8">
        <w:rPr>
          <w:rStyle w:val="Person"/>
        </w:rPr>
        <w:t xml:space="preserve">Chris </w:t>
      </w:r>
      <w:proofErr w:type="spellStart"/>
      <w:r w:rsidR="00F42E70" w:rsidRPr="00492BC8">
        <w:rPr>
          <w:rStyle w:val="Person"/>
        </w:rPr>
        <w:t>Coner</w:t>
      </w:r>
      <w:proofErr w:type="spellEnd"/>
      <w:r w:rsidRPr="00492BC8">
        <w:t xml:space="preserve">, Clinical Research Facilitator, Research Governance and QA office, QMRI, 47 Little France Crescent, Edinburgh, EH16 4TJ, Tel. 0131 2423325, </w:t>
      </w:r>
      <w:r w:rsidR="007F47D0" w:rsidRPr="00492BC8">
        <w:t>E</w:t>
      </w:r>
      <w:r w:rsidRPr="00492BC8">
        <w:t xml:space="preserve">mail. </w:t>
      </w:r>
      <w:hyperlink r:id="rId20" w:history="1">
        <w:r w:rsidR="000E46AF" w:rsidRPr="00492BC8">
          <w:rPr>
            <w:rStyle w:val="NewHyperlink"/>
            <w:rFonts w:eastAsiaTheme="minorEastAsia"/>
            <w:b w:val="0"/>
            <w:color w:val="auto"/>
            <w:szCs w:val="20"/>
          </w:rPr>
          <w:t>researchgovernance@ed.ac.uk</w:t>
        </w:r>
      </w:hyperlink>
      <w:r w:rsidR="000E46AF" w:rsidRPr="00492BC8">
        <w:t xml:space="preserve"> </w:t>
      </w:r>
    </w:p>
    <w:p w14:paraId="3E384BA5" w14:textId="7B084DF0" w:rsidR="00FF2DC5" w:rsidRPr="00757219" w:rsidRDefault="00577725" w:rsidP="00757219">
      <w:pPr>
        <w:pStyle w:val="Heading1"/>
      </w:pPr>
      <w:bookmarkStart w:id="4" w:name="aims"/>
      <w:bookmarkStart w:id="5" w:name="_Toc156378658"/>
      <w:bookmarkStart w:id="6" w:name="_Toc181256533"/>
      <w:r w:rsidRPr="7706D474">
        <w:t>Aims</w:t>
      </w:r>
      <w:bookmarkEnd w:id="4"/>
      <w:bookmarkEnd w:id="5"/>
      <w:bookmarkEnd w:id="6"/>
    </w:p>
    <w:p w14:paraId="10BAC8AB" w14:textId="5B3C1F24" w:rsidR="00FF2DC5" w:rsidRPr="003279FA" w:rsidRDefault="00577725" w:rsidP="00EF5657">
      <w:pPr>
        <w:pStyle w:val="BodyText"/>
      </w:pPr>
      <w:r w:rsidRPr="003279FA">
        <w:t>To identify host genetic variants associated with susceptibility to, and mortality from, life-threatening infection and sterile injury.</w:t>
      </w:r>
    </w:p>
    <w:p w14:paraId="68B105C9" w14:textId="77777777" w:rsidR="00FF2DC5" w:rsidRPr="003279FA" w:rsidRDefault="00577725" w:rsidP="00EF5657">
      <w:pPr>
        <w:pStyle w:val="BodyText"/>
      </w:pPr>
      <w:r w:rsidRPr="003279FA">
        <w:t>To prioritise therapeutic targets with which to modulate the host response to injury and infection in patients with life-threatening disease.</w:t>
      </w:r>
    </w:p>
    <w:p w14:paraId="6A37DCAA" w14:textId="774FDA45" w:rsidR="00FF2DC5" w:rsidRPr="00757219" w:rsidRDefault="00577725" w:rsidP="00757219">
      <w:pPr>
        <w:pStyle w:val="Heading1"/>
      </w:pPr>
      <w:bookmarkStart w:id="7" w:name="objectives"/>
      <w:bookmarkStart w:id="8" w:name="_Toc156378659"/>
      <w:bookmarkStart w:id="9" w:name="_Toc181256534"/>
      <w:r w:rsidRPr="7706D474">
        <w:t>Objectives</w:t>
      </w:r>
      <w:bookmarkEnd w:id="7"/>
      <w:bookmarkEnd w:id="8"/>
      <w:bookmarkEnd w:id="9"/>
    </w:p>
    <w:p w14:paraId="5E38DC15" w14:textId="3549AF35" w:rsidR="00F42E70" w:rsidRDefault="00577725" w:rsidP="00A61CA6">
      <w:pPr>
        <w:pStyle w:val="BodyText"/>
      </w:pPr>
      <w:r w:rsidRPr="003279FA">
        <w:t>We will work within the International Severe Acute Respiratory Infection Consortium (ISARIC) and International Forum of Acute Care Trialists (</w:t>
      </w:r>
      <w:proofErr w:type="spellStart"/>
      <w:r w:rsidRPr="003279FA">
        <w:t>InFACT</w:t>
      </w:r>
      <w:proofErr w:type="spellEnd"/>
      <w:r w:rsidRPr="003279FA">
        <w:t>), two global initiatives, to establish a prospective DNA resource for hypothesis-testing and genome-wide discovery of host genetic variants underlying susceptibility to</w:t>
      </w:r>
      <w:r w:rsidR="008F4C34">
        <w:t>, and outcome from,</w:t>
      </w:r>
      <w:r w:rsidRPr="003279FA">
        <w:t xml:space="preserve"> severe infection and life-threatening systemic injury. </w:t>
      </w:r>
    </w:p>
    <w:p w14:paraId="5184B650" w14:textId="6FDA78AC" w:rsidR="00F42E70" w:rsidRPr="00F42E70" w:rsidRDefault="00F42E70" w:rsidP="000734D6">
      <w:pPr>
        <w:pStyle w:val="Heading2"/>
      </w:pPr>
      <w:bookmarkStart w:id="10" w:name="_Toc156378660"/>
      <w:bookmarkStart w:id="11" w:name="_Toc181256535"/>
      <w:r>
        <w:t>Recruitment from critical care</w:t>
      </w:r>
      <w:bookmarkEnd w:id="10"/>
      <w:bookmarkEnd w:id="11"/>
    </w:p>
    <w:p w14:paraId="370DDF24" w14:textId="66D3589F" w:rsidR="00FF2DC5" w:rsidRPr="009E0B47" w:rsidRDefault="00577725" w:rsidP="009E0B47">
      <w:pPr>
        <w:pStyle w:val="BodyText"/>
      </w:pPr>
      <w:r w:rsidRPr="00572A93">
        <w:t>We will</w:t>
      </w:r>
      <w:r w:rsidR="00F42E70" w:rsidRPr="00572A93">
        <w:t xml:space="preserve"> o</w:t>
      </w:r>
      <w:r w:rsidRPr="00572A93">
        <w:t>btain sample</w:t>
      </w:r>
      <w:r w:rsidR="00A40AA5" w:rsidRPr="00572A93">
        <w:t>s</w:t>
      </w:r>
      <w:r w:rsidRPr="00572A93">
        <w:t xml:space="preserve"> from patients with</w:t>
      </w:r>
      <w:r w:rsidR="00CE4D9C" w:rsidRPr="00572A93">
        <w:t xml:space="preserve"> </w:t>
      </w:r>
      <w:r w:rsidR="00D83762" w:rsidRPr="00572A93">
        <w:t xml:space="preserve">critical illness caused by infection, </w:t>
      </w:r>
      <w:r w:rsidR="00522A1A" w:rsidRPr="00572A93">
        <w:t>specific outbreaks and exposures of public health interest</w:t>
      </w:r>
      <w:r w:rsidR="00D83762" w:rsidRPr="00572A93">
        <w:t>,</w:t>
      </w:r>
      <w:r w:rsidR="00407985" w:rsidRPr="00572A93">
        <w:t xml:space="preserve"> and </w:t>
      </w:r>
      <w:r w:rsidRPr="00572A93">
        <w:t>quantifiable sterile injury.</w:t>
      </w:r>
    </w:p>
    <w:p w14:paraId="4BDBBA63" w14:textId="4A4607A8" w:rsidR="00F42E70" w:rsidRPr="009E0B47" w:rsidRDefault="00AE57CD" w:rsidP="009E0B47">
      <w:pPr>
        <w:pStyle w:val="BodyText"/>
      </w:pPr>
      <w:r w:rsidRPr="00572A93">
        <w:t>Participants</w:t>
      </w:r>
      <w:r w:rsidR="00F42E70" w:rsidRPr="00572A93">
        <w:t xml:space="preserve"> group may be recruited prospectively</w:t>
      </w:r>
      <w:r w:rsidR="00780760" w:rsidRPr="00572A93">
        <w:t xml:space="preserve"> during their illness</w:t>
      </w:r>
      <w:r w:rsidR="00F42E70" w:rsidRPr="00572A93">
        <w:t>, or retrospectively following discharge</w:t>
      </w:r>
      <w:r w:rsidR="003552A5" w:rsidRPr="00572A93">
        <w:t xml:space="preserve"> from hosp</w:t>
      </w:r>
      <w:r w:rsidR="00A17EB3" w:rsidRPr="00572A93">
        <w:t>i</w:t>
      </w:r>
      <w:r w:rsidR="003552A5" w:rsidRPr="00572A93">
        <w:t>tal</w:t>
      </w:r>
      <w:r w:rsidR="00F42E70" w:rsidRPr="00572A93">
        <w:t>.</w:t>
      </w:r>
    </w:p>
    <w:p w14:paraId="5D3E9CF6" w14:textId="6241B356" w:rsidR="00F33187" w:rsidRDefault="00F33187" w:rsidP="00F33187">
      <w:pPr>
        <w:pStyle w:val="Heading2"/>
      </w:pPr>
      <w:bookmarkStart w:id="12" w:name="_Toc156378661"/>
      <w:bookmarkStart w:id="13" w:name="_Toc181256536"/>
      <w:r>
        <w:lastRenderedPageBreak/>
        <w:t>Other recruitment</w:t>
      </w:r>
      <w:bookmarkEnd w:id="12"/>
      <w:bookmarkEnd w:id="13"/>
    </w:p>
    <w:p w14:paraId="0E2CED36" w14:textId="735C4F1C" w:rsidR="00AD5161" w:rsidRPr="00572A93" w:rsidRDefault="00DC51FA" w:rsidP="7DA144BB">
      <w:pPr>
        <w:pStyle w:val="BodyText"/>
      </w:pPr>
      <w:r w:rsidRPr="00572A93">
        <w:t xml:space="preserve">We will </w:t>
      </w:r>
      <w:r w:rsidR="00AD6433" w:rsidRPr="00572A93">
        <w:t xml:space="preserve">also </w:t>
      </w:r>
      <w:r w:rsidRPr="00572A93">
        <w:t>recruit</w:t>
      </w:r>
      <w:r w:rsidR="005611A6" w:rsidRPr="00572A93">
        <w:t xml:space="preserve"> the following</w:t>
      </w:r>
      <w:r w:rsidRPr="00572A93">
        <w:t xml:space="preserve"> </w:t>
      </w:r>
      <w:r w:rsidR="005611A6" w:rsidRPr="00572A93">
        <w:t>additional groups</w:t>
      </w:r>
      <w:r w:rsidR="00AD6433" w:rsidRPr="00572A93">
        <w:t>, but only</w:t>
      </w:r>
      <w:r w:rsidR="001A1FFA" w:rsidRPr="00572A93">
        <w:t xml:space="preserve"> when deemed necessary</w:t>
      </w:r>
      <w:r w:rsidR="005C676C" w:rsidRPr="00572A93">
        <w:t xml:space="preserve"> for specific analyses planned</w:t>
      </w:r>
      <w:r w:rsidR="001A1FFA" w:rsidRPr="00572A93">
        <w:t xml:space="preserve"> by the Chief Investigator in consultation with the study steering committee</w:t>
      </w:r>
      <w:r w:rsidR="00AD5161" w:rsidRPr="00572A93">
        <w:t>:</w:t>
      </w:r>
      <w:r w:rsidR="0028795B" w:rsidRPr="00572A93">
        <w:t xml:space="preserve"> </w:t>
      </w:r>
    </w:p>
    <w:p w14:paraId="41707118" w14:textId="4ACADB69" w:rsidR="004D7AAA" w:rsidRPr="00572A93" w:rsidRDefault="00F33187" w:rsidP="7DA144BB">
      <w:pPr>
        <w:pStyle w:val="BasicBulletList"/>
      </w:pPr>
      <w:r w:rsidRPr="00572A93">
        <w:t>P</w:t>
      </w:r>
      <w:r w:rsidR="009F256D" w:rsidRPr="00572A93">
        <w:t>arents of patients</w:t>
      </w:r>
      <w:r w:rsidRPr="00572A93">
        <w:t>: we will obtain DNA from parents of patients</w:t>
      </w:r>
      <w:r w:rsidR="003C1689" w:rsidRPr="00572A93">
        <w:t xml:space="preserve"> – in collaboration with research sites where necessary</w:t>
      </w:r>
      <w:r w:rsidRPr="00572A93">
        <w:t xml:space="preserve"> </w:t>
      </w:r>
      <w:r w:rsidR="003C1689" w:rsidRPr="00572A93">
        <w:t xml:space="preserve">– </w:t>
      </w:r>
      <w:r w:rsidR="004D7AAA" w:rsidRPr="00572A93">
        <w:t>in</w:t>
      </w:r>
      <w:r w:rsidR="003C1689" w:rsidRPr="00572A93">
        <w:t xml:space="preserve"> </w:t>
      </w:r>
      <w:r w:rsidR="004D7AAA" w:rsidRPr="00572A93">
        <w:t>the following circumstances:</w:t>
      </w:r>
    </w:p>
    <w:p w14:paraId="3F73B6F7" w14:textId="62275D2A" w:rsidR="003C1689" w:rsidRPr="00572A93" w:rsidRDefault="004D7AAA" w:rsidP="008949CD">
      <w:pPr>
        <w:pStyle w:val="BasicBulletList"/>
        <w:numPr>
          <w:ilvl w:val="1"/>
          <w:numId w:val="1"/>
        </w:numPr>
      </w:pPr>
      <w:r w:rsidRPr="00572A93">
        <w:t>Where the patient</w:t>
      </w:r>
      <w:r w:rsidR="00C95BB8" w:rsidRPr="00572A93">
        <w:t>’</w:t>
      </w:r>
      <w:r w:rsidRPr="00572A93">
        <w:t xml:space="preserve">s </w:t>
      </w:r>
      <w:r w:rsidR="003C1689" w:rsidRPr="00572A93">
        <w:t>presentation suggests an</w:t>
      </w:r>
      <w:r w:rsidR="006567C2" w:rsidRPr="00572A93">
        <w:t xml:space="preserve"> extre</w:t>
      </w:r>
      <w:r w:rsidR="00D23721" w:rsidRPr="00572A93">
        <w:t xml:space="preserve">me susceptibility </w:t>
      </w:r>
      <w:r w:rsidR="005A4D94" w:rsidRPr="00572A93">
        <w:t xml:space="preserve">to </w:t>
      </w:r>
      <w:r w:rsidR="00105D2F" w:rsidRPr="00572A93">
        <w:t>eligible syndromes</w:t>
      </w:r>
      <w:r w:rsidR="00756275" w:rsidRPr="00572A93">
        <w:t xml:space="preserve"> </w:t>
      </w:r>
      <w:r w:rsidR="006567C2" w:rsidRPr="00572A93">
        <w:t>(</w:t>
      </w:r>
      <w:r w:rsidR="00F370A6" w:rsidRPr="00572A93">
        <w:t>e.g.,</w:t>
      </w:r>
      <w:r w:rsidR="008364B3" w:rsidRPr="00572A93">
        <w:t xml:space="preserve"> </w:t>
      </w:r>
      <w:r w:rsidR="006567C2" w:rsidRPr="00572A93">
        <w:t>those under 40 and free from significant comorbidity)</w:t>
      </w:r>
      <w:r w:rsidR="00F33187" w:rsidRPr="00572A93">
        <w:t xml:space="preserve"> </w:t>
      </w:r>
    </w:p>
    <w:p w14:paraId="2A362F43" w14:textId="78DF7E2A" w:rsidR="009F256D" w:rsidRPr="00572A93" w:rsidRDefault="003C1689" w:rsidP="008949CD">
      <w:pPr>
        <w:pStyle w:val="BasicBulletList"/>
        <w:numPr>
          <w:ilvl w:val="1"/>
          <w:numId w:val="1"/>
        </w:numPr>
      </w:pPr>
      <w:r w:rsidRPr="00572A93">
        <w:t>Where the</w:t>
      </w:r>
      <w:r w:rsidR="00F33187" w:rsidRPr="00572A93">
        <w:t xml:space="preserve"> patient</w:t>
      </w:r>
      <w:r w:rsidRPr="00572A93">
        <w:t xml:space="preserve"> is affected by</w:t>
      </w:r>
      <w:r w:rsidR="00F33187" w:rsidRPr="00572A93">
        <w:t xml:space="preserve"> </w:t>
      </w:r>
      <w:r w:rsidRPr="00572A93">
        <w:t xml:space="preserve">an illness, </w:t>
      </w:r>
      <w:proofErr w:type="gramStart"/>
      <w:r w:rsidRPr="00572A93">
        <w:t>syndrome</w:t>
      </w:r>
      <w:proofErr w:type="gramEnd"/>
      <w:r w:rsidRPr="00572A93">
        <w:t xml:space="preserve"> or condition</w:t>
      </w:r>
      <w:r w:rsidR="00F33187" w:rsidRPr="00572A93">
        <w:t xml:space="preserve"> of public health concern</w:t>
      </w:r>
    </w:p>
    <w:p w14:paraId="7BBFE63E" w14:textId="30F80DCA" w:rsidR="009F256D" w:rsidRPr="00572A93" w:rsidRDefault="00F33187" w:rsidP="7DA144BB">
      <w:pPr>
        <w:pStyle w:val="BasicBulletList"/>
      </w:pPr>
      <w:r w:rsidRPr="00572A93">
        <w:t>Control groups and volunteers: we will o</w:t>
      </w:r>
      <w:r w:rsidR="009F256D" w:rsidRPr="00572A93">
        <w:t xml:space="preserve">btain </w:t>
      </w:r>
      <w:r w:rsidR="00EA1888" w:rsidRPr="00572A93">
        <w:t>DNA samples</w:t>
      </w:r>
      <w:r w:rsidR="00E92C29" w:rsidRPr="00572A93">
        <w:t>, where possible,</w:t>
      </w:r>
      <w:r w:rsidR="00EA1888" w:rsidRPr="00572A93">
        <w:t xml:space="preserve"> from appropriate comparison or control groups</w:t>
      </w:r>
      <w:r w:rsidRPr="00572A93">
        <w:t xml:space="preserve"> including volunteers from within the community</w:t>
      </w:r>
    </w:p>
    <w:p w14:paraId="6F521336" w14:textId="59C9EA55" w:rsidR="00AD5161" w:rsidRPr="00572A93" w:rsidRDefault="00AD5161" w:rsidP="7DA144BB">
      <w:pPr>
        <w:pStyle w:val="BodyText"/>
      </w:pPr>
      <w:r w:rsidRPr="00572A93">
        <w:t>Recruitment of these groups will be co-ordinated and communicated to recruiting sites directly by the GenOMICC central management team.</w:t>
      </w:r>
    </w:p>
    <w:p w14:paraId="495A686C" w14:textId="3CE1DFE5" w:rsidR="00F33187" w:rsidRPr="009F256D" w:rsidRDefault="00F33187" w:rsidP="00F33187">
      <w:pPr>
        <w:pStyle w:val="Heading2"/>
      </w:pPr>
      <w:bookmarkStart w:id="14" w:name="_Toc156378662"/>
      <w:bookmarkStart w:id="15" w:name="_Toc181256537"/>
      <w:r>
        <w:t>Data management objectives</w:t>
      </w:r>
      <w:bookmarkEnd w:id="14"/>
      <w:bookmarkEnd w:id="15"/>
    </w:p>
    <w:p w14:paraId="0BF0CE9D" w14:textId="0A1C4068" w:rsidR="00FF2DC5" w:rsidRPr="003279FA" w:rsidRDefault="00577725" w:rsidP="00A61CA6">
      <w:pPr>
        <w:pStyle w:val="BasicBulletList"/>
      </w:pPr>
      <w:r>
        <w:t xml:space="preserve">Combine existing DNA resources in a virtual collaborative network to enable rapid testing of </w:t>
      </w:r>
      <w:r w:rsidR="001B6F42">
        <w:t xml:space="preserve">disease-associated </w:t>
      </w:r>
      <w:r>
        <w:t>variants</w:t>
      </w:r>
    </w:p>
    <w:p w14:paraId="30331AB4" w14:textId="3735D407" w:rsidR="00FF2DC5" w:rsidRPr="003279FA" w:rsidRDefault="00577725" w:rsidP="004103E1">
      <w:pPr>
        <w:pStyle w:val="BasicBulletList"/>
      </w:pPr>
      <w:r>
        <w:t xml:space="preserve">Establish and continually replenish a small cohort of individuals with known profound susceptibility to specific pathogens, who will be invited to provide repeat samples for </w:t>
      </w:r>
      <w:r w:rsidRPr="7DA144BB">
        <w:rPr>
          <w:i/>
          <w:iCs/>
        </w:rPr>
        <w:t>in vitro</w:t>
      </w:r>
      <w:r>
        <w:t xml:space="preserve"> studies of cellular responses to relevant stimuli</w:t>
      </w:r>
    </w:p>
    <w:p w14:paraId="339431AD" w14:textId="2713DB9F" w:rsidR="00C040AD" w:rsidRPr="003279FA" w:rsidRDefault="00C040AD" w:rsidP="004103E1">
      <w:pPr>
        <w:pStyle w:val="BasicBulletList"/>
      </w:pPr>
      <w:r>
        <w:t>Where appropriate and implementable, allow return of clinically relevant information to the NHS (or appropriate healthcare provider) regarding participants</w:t>
      </w:r>
    </w:p>
    <w:p w14:paraId="57427BDC" w14:textId="3FDD3CC0" w:rsidR="00C040AD" w:rsidRDefault="00C040AD" w:rsidP="004103E1">
      <w:pPr>
        <w:pStyle w:val="BasicBulletList"/>
      </w:pPr>
      <w:r>
        <w:t>Allow lifetime linkage (and beyond) to healthcare and other relevant data (including registries, healthcare records, research datasets, and lifestyle and other data)</w:t>
      </w:r>
    </w:p>
    <w:p w14:paraId="34679573" w14:textId="1E5E5B04" w:rsidR="00F33187" w:rsidRPr="00572A93" w:rsidRDefault="00F33187" w:rsidP="7DA144BB">
      <w:pPr>
        <w:pStyle w:val="BasicBulletList"/>
      </w:pPr>
      <w:r w:rsidRPr="00572A93">
        <w:t>Support international collaborators, including the transfer of data and material into the UK from other countries</w:t>
      </w:r>
      <w:r w:rsidR="00E35635" w:rsidRPr="00572A93">
        <w:t xml:space="preserve"> </w:t>
      </w:r>
      <w:r w:rsidRPr="00572A93">
        <w:t>where appropriate</w:t>
      </w:r>
      <w:r w:rsidR="00E35635" w:rsidRPr="00572A93">
        <w:t xml:space="preserve">, </w:t>
      </w:r>
      <w:r w:rsidRPr="00572A93">
        <w:t>subject to necessary agreements and regulatory approvals</w:t>
      </w:r>
    </w:p>
    <w:p w14:paraId="2C9681BD" w14:textId="27464E0E" w:rsidR="00FF2DC5" w:rsidRPr="00757219" w:rsidRDefault="00577725" w:rsidP="00757219">
      <w:pPr>
        <w:pStyle w:val="Heading1"/>
      </w:pPr>
      <w:bookmarkStart w:id="16" w:name="background"/>
      <w:bookmarkStart w:id="17" w:name="_Toc156378663"/>
      <w:bookmarkStart w:id="18" w:name="_Toc181256538"/>
      <w:r w:rsidRPr="7706D474">
        <w:t>Background</w:t>
      </w:r>
      <w:bookmarkEnd w:id="16"/>
      <w:bookmarkEnd w:id="17"/>
      <w:bookmarkEnd w:id="18"/>
    </w:p>
    <w:p w14:paraId="24FBE8D5" w14:textId="41059DDD" w:rsidR="00FF2DC5" w:rsidRPr="003279FA" w:rsidRDefault="00577725" w:rsidP="00A61CA6">
      <w:pPr>
        <w:pStyle w:val="BodyText"/>
      </w:pPr>
      <w:r w:rsidRPr="003279FA">
        <w:t>Susceptibility to infection is profoundly heritable</w:t>
      </w:r>
      <w:r w:rsidR="00D42B9C">
        <w:t xml:space="preserve"> </w:t>
      </w:r>
      <w:r w:rsidRPr="003279FA">
        <w:t>(Sorensen et al. 1988). Patients who develop life-threatening illness following infection with usually innocuous pathogens, such as influenza</w:t>
      </w:r>
      <w:r w:rsidR="00D42B9C">
        <w:t xml:space="preserve"> </w:t>
      </w:r>
      <w:r w:rsidRPr="003279FA">
        <w:t>(Miller et al. 2010), are genetically different from the rest of the population</w:t>
      </w:r>
      <w:r w:rsidR="00D42B9C">
        <w:t xml:space="preserve"> </w:t>
      </w:r>
      <w:r w:rsidRPr="003279FA">
        <w:t>(Albright et al. 2008). Understanding the genetic mechanisms of susceptibility may yield new therapeutic targets</w:t>
      </w:r>
      <w:r w:rsidR="00D42B9C">
        <w:t xml:space="preserve"> </w:t>
      </w:r>
      <w:r w:rsidRPr="003279FA">
        <w:t xml:space="preserve">(Baillie </w:t>
      </w:r>
      <w:r w:rsidRPr="003279FA">
        <w:lastRenderedPageBreak/>
        <w:t xml:space="preserve">2014) that can be used to make susceptible patients more </w:t>
      </w:r>
      <w:r w:rsidR="00D42B9C" w:rsidRPr="003279FA">
        <w:t>like</w:t>
      </w:r>
      <w:r w:rsidRPr="003279FA">
        <w:t xml:space="preserve"> individuals who are resistant to, or tolerant of, specific pathogens.</w:t>
      </w:r>
    </w:p>
    <w:p w14:paraId="6F1FFD8E" w14:textId="68E7B3A5" w:rsidR="00FF2DC5" w:rsidRPr="003279FA" w:rsidRDefault="00577725" w:rsidP="00A61CA6">
      <w:pPr>
        <w:pStyle w:val="BodyText"/>
      </w:pPr>
      <w:r w:rsidRPr="003279FA">
        <w:t>The genetic mechanisms of susceptibility to infection are likely to be highly pathogen-</w:t>
      </w:r>
      <w:proofErr w:type="gramStart"/>
      <w:r w:rsidRPr="003279FA">
        <w:t>specific, and</w:t>
      </w:r>
      <w:proofErr w:type="gramEnd"/>
      <w:r w:rsidRPr="003279FA">
        <w:t xml:space="preserve"> may even have opposing roles in different infections (as for CCR5 variants in HIV</w:t>
      </w:r>
      <w:r w:rsidR="00D42B9C">
        <w:t xml:space="preserve"> </w:t>
      </w:r>
      <w:r w:rsidRPr="003279FA">
        <w:t xml:space="preserve">(Huang et al. 1996) and </w:t>
      </w:r>
      <w:r w:rsidR="00D42B9C" w:rsidRPr="003279FA">
        <w:t>WNV (</w:t>
      </w:r>
      <w:r w:rsidRPr="003279FA">
        <w:t>Glass et al. 2006) infection). Pathogen-specific interventions (</w:t>
      </w:r>
      <w:r w:rsidR="00F370A6" w:rsidRPr="003279FA">
        <w:t>e.g.,</w:t>
      </w:r>
      <w:r w:rsidRPr="003279FA">
        <w:t xml:space="preserve"> small molecules to inhibit an enzyme or receptor that is dysfunctional in resistant individuals) would therefore be protective to the host in a similar way to antibiotics, with the advantage that it is conceptually more difficult for </w:t>
      </w:r>
      <w:proofErr w:type="spellStart"/>
      <w:r w:rsidR="00D42B9C" w:rsidRPr="003279FA">
        <w:t>any</w:t>
      </w:r>
      <w:r w:rsidR="00D42B9C">
        <w:t xml:space="preserve"> </w:t>
      </w:r>
      <w:r w:rsidR="00D42B9C" w:rsidRPr="003279FA">
        <w:t>one</w:t>
      </w:r>
      <w:proofErr w:type="spellEnd"/>
      <w:r w:rsidRPr="003279FA">
        <w:t xml:space="preserve"> pathogen to evolve resistance to such a therapy.</w:t>
      </w:r>
    </w:p>
    <w:p w14:paraId="394F2A0C" w14:textId="4CCB10DA" w:rsidR="00FF2DC5" w:rsidRPr="003279FA" w:rsidRDefault="00577725" w:rsidP="00A61CA6">
      <w:pPr>
        <w:pStyle w:val="BodyText"/>
      </w:pPr>
      <w:r w:rsidRPr="003279FA">
        <w:t xml:space="preserve">A second, more challenging problem arises in patients who become critically ill following infection. The patterns of immune-mediated organ dysfunction, </w:t>
      </w:r>
      <w:proofErr w:type="spellStart"/>
      <w:r w:rsidRPr="003279FA">
        <w:t>immunoparesis</w:t>
      </w:r>
      <w:proofErr w:type="spellEnd"/>
      <w:r w:rsidRPr="003279FA">
        <w:t xml:space="preserve">, and death are very similar in severe infections and sterile systemic injuries (such as burns, haemorrhage, </w:t>
      </w:r>
      <w:proofErr w:type="gramStart"/>
      <w:r w:rsidRPr="003279FA">
        <w:t>pancreatitis</w:t>
      </w:r>
      <w:proofErr w:type="gramEnd"/>
      <w:r w:rsidRPr="003279FA">
        <w:t xml:space="preserve"> and trauma). Ultimately, death is a consequence of the host response to </w:t>
      </w:r>
      <w:r w:rsidR="00D42B9C" w:rsidRPr="003279FA">
        <w:t>injury (</w:t>
      </w:r>
      <w:r w:rsidRPr="003279FA">
        <w:t>Angus and Poll 2013), through final common pathways of organ failure that are clinically and biochemically evident, and unrelated to the original precipitant.</w:t>
      </w:r>
    </w:p>
    <w:p w14:paraId="2D0CD2C5" w14:textId="77777777" w:rsidR="00FF2DC5" w:rsidRPr="003279FA" w:rsidRDefault="00577725" w:rsidP="00A61CA6">
      <w:pPr>
        <w:pStyle w:val="BodyText"/>
      </w:pPr>
      <w:r>
        <w:t>Broadly, the severity of critical illness follows directly from the severity and duration of the initial insult. In bacterial sepsis, early antibiotics are the mainstay of therapy; in influenza, early antivirals; in haemorrhage, early resuscitation; in trauma, urgent action to prevent secondary injury. We have no therapies with which to modulate the host response to systemic injury.</w:t>
      </w:r>
    </w:p>
    <w:p w14:paraId="5FFEA32F" w14:textId="6F75CCE2" w:rsidR="00FF2DC5" w:rsidRPr="003279FA" w:rsidRDefault="00577725" w:rsidP="00A61CA6">
      <w:pPr>
        <w:pStyle w:val="BodyText"/>
      </w:pPr>
      <w:r w:rsidRPr="003279FA">
        <w:t xml:space="preserve">There is a lack of direct evidence of heritability for outcomes of critical illness, due in part to difficulties in defining and quantifying the </w:t>
      </w:r>
      <w:r w:rsidRPr="00A61CA6">
        <w:t>heterogeneous</w:t>
      </w:r>
      <w:r w:rsidRPr="003279FA">
        <w:t xml:space="preserve"> </w:t>
      </w:r>
      <w:r w:rsidR="00083C2E">
        <w:t>syndromes in critical illness such as sepsis, acute respiratory distress syndrome</w:t>
      </w:r>
      <w:r w:rsidR="00214DC8">
        <w:t xml:space="preserve"> (ARDS)</w:t>
      </w:r>
      <w:r w:rsidR="00083C2E">
        <w:t xml:space="preserve">, </w:t>
      </w:r>
      <w:r w:rsidR="001D6610">
        <w:t xml:space="preserve">multi-organ dysfunction syndrome, </w:t>
      </w:r>
      <w:r w:rsidR="00083C2E">
        <w:t>and bronchopulmonary dysplasia. This is also in</w:t>
      </w:r>
      <w:r w:rsidRPr="003279FA">
        <w:t xml:space="preserve"> part due to the rapid pace of change in critical care medicine, making it impossible to tackle this question in long</w:t>
      </w:r>
      <w:r w:rsidR="0010704C">
        <w:t>-</w:t>
      </w:r>
      <w:r w:rsidRPr="003279FA">
        <w:t xml:space="preserve">term outcome studies. However, </w:t>
      </w:r>
      <w:proofErr w:type="gramStart"/>
      <w:r w:rsidRPr="003279FA">
        <w:t>clinical</w:t>
      </w:r>
      <w:proofErr w:type="gramEnd"/>
      <w:r w:rsidRPr="003279FA">
        <w:t xml:space="preserve"> and biological evidence support the hypothesis that the pathogenesis of </w:t>
      </w:r>
      <w:r w:rsidR="0010704C">
        <w:t>organ failure</w:t>
      </w:r>
      <w:r w:rsidR="0010704C" w:rsidRPr="003279FA">
        <w:t xml:space="preserve"> </w:t>
      </w:r>
      <w:r w:rsidRPr="003279FA">
        <w:t xml:space="preserve">is </w:t>
      </w:r>
      <w:r w:rsidR="00FE490E">
        <w:t xml:space="preserve">often </w:t>
      </w:r>
      <w:r w:rsidRPr="003279FA">
        <w:t xml:space="preserve">immune in </w:t>
      </w:r>
      <w:r w:rsidR="00D42B9C" w:rsidRPr="003279FA">
        <w:t>origin (</w:t>
      </w:r>
      <w:r w:rsidRPr="003279FA">
        <w:t>Angus and Poll 2013)</w:t>
      </w:r>
      <w:r w:rsidR="00FE490E">
        <w:t xml:space="preserve">, and earlier results from this study provide clear evidence that immune dysfunction </w:t>
      </w:r>
      <w:r w:rsidR="007E233D">
        <w:t>is a key driver of organ damage in Covid-19</w:t>
      </w:r>
      <w:r w:rsidR="00C94CA8">
        <w:t xml:space="preserve"> (</w:t>
      </w:r>
      <w:proofErr w:type="spellStart"/>
      <w:r w:rsidR="00AC2F50">
        <w:t>Pairo-Castineira</w:t>
      </w:r>
      <w:proofErr w:type="spellEnd"/>
      <w:r w:rsidR="000D210C">
        <w:t xml:space="preserve"> et al</w:t>
      </w:r>
      <w:r w:rsidR="00AC2F50">
        <w:t>, 202</w:t>
      </w:r>
      <w:r w:rsidR="009966CE">
        <w:t>0</w:t>
      </w:r>
      <w:r w:rsidR="00C94CA8">
        <w:t>;</w:t>
      </w:r>
      <w:r w:rsidR="00F5600A">
        <w:t xml:space="preserve"> </w:t>
      </w:r>
      <w:proofErr w:type="spellStart"/>
      <w:r w:rsidR="00C94CA8" w:rsidRPr="00572A93">
        <w:t>Kousathanas</w:t>
      </w:r>
      <w:proofErr w:type="spellEnd"/>
      <w:r w:rsidR="00C94CA8">
        <w:t xml:space="preserve"> et al, 2022;</w:t>
      </w:r>
      <w:r w:rsidR="00F5600A">
        <w:t xml:space="preserve"> </w:t>
      </w:r>
      <w:proofErr w:type="spellStart"/>
      <w:r w:rsidR="00C94CA8" w:rsidRPr="00572A93">
        <w:t>Pairo-Castineira</w:t>
      </w:r>
      <w:proofErr w:type="spellEnd"/>
      <w:r w:rsidR="000D210C">
        <w:t xml:space="preserve"> et al</w:t>
      </w:r>
      <w:r w:rsidR="00C94CA8">
        <w:t>, 2023</w:t>
      </w:r>
      <w:r w:rsidR="00C94CA8" w:rsidRPr="00C94CA8">
        <w:t>)</w:t>
      </w:r>
      <w:r w:rsidR="00836714" w:rsidRPr="000622D4">
        <w:t>.</w:t>
      </w:r>
      <w:r w:rsidR="00836714" w:rsidRPr="00C94CA8">
        <w:t xml:space="preserve"> </w:t>
      </w:r>
      <w:r w:rsidR="00D42B9C" w:rsidRPr="00C94CA8">
        <w:t>Hence</w:t>
      </w:r>
      <w:r w:rsidR="00D42B9C" w:rsidRPr="003279FA">
        <w:t>,</w:t>
      </w:r>
      <w:r w:rsidRPr="003279FA">
        <w:t xml:space="preserve"> we can make predictions from t</w:t>
      </w:r>
      <w:r w:rsidR="00F5600A">
        <w:t>h</w:t>
      </w:r>
      <w:r w:rsidRPr="003279FA">
        <w:t xml:space="preserve">e extensive knowledge of other immune conditions. </w:t>
      </w:r>
      <w:r w:rsidR="00ED4CB4">
        <w:t xml:space="preserve">Furthermore, </w:t>
      </w:r>
      <w:proofErr w:type="gramStart"/>
      <w:r w:rsidR="00ED4CB4">
        <w:t>a</w:t>
      </w:r>
      <w:r w:rsidR="00174985">
        <w:t>utoimmune</w:t>
      </w:r>
      <w:proofErr w:type="gramEnd"/>
      <w:r w:rsidR="00174985">
        <w:t xml:space="preserve"> and infectious diseases</w:t>
      </w:r>
      <w:r w:rsidRPr="003279FA">
        <w:t xml:space="preserve"> share a great deal of similarity in genetic predispositions, cell types and mechanisms of pathogenesis. It is therefore very likely that propensity to survive </w:t>
      </w:r>
      <w:r w:rsidR="00174985">
        <w:t>critical illness</w:t>
      </w:r>
      <w:r w:rsidR="00174985" w:rsidRPr="003279FA">
        <w:t xml:space="preserve"> </w:t>
      </w:r>
      <w:r w:rsidRPr="003279FA">
        <w:t xml:space="preserve">has a heritable component, and there is some direct evidence in support of this </w:t>
      </w:r>
      <w:r w:rsidR="00D42B9C" w:rsidRPr="003279FA">
        <w:t>hypothesis (</w:t>
      </w:r>
      <w:proofErr w:type="spellStart"/>
      <w:r w:rsidRPr="003279FA">
        <w:t>Rautanen</w:t>
      </w:r>
      <w:proofErr w:type="spellEnd"/>
      <w:r w:rsidRPr="003279FA">
        <w:t xml:space="preserve"> et al. 2015). If this is the case, then the identity of the specific variants that contribute to outcome could potentially be utilised to design therapies to promote survival after the onset of </w:t>
      </w:r>
      <w:r w:rsidR="00621F7C">
        <w:t>critical illness</w:t>
      </w:r>
      <w:r w:rsidRPr="003279FA">
        <w:t>.</w:t>
      </w:r>
    </w:p>
    <w:p w14:paraId="46C73730" w14:textId="2F4D0E03" w:rsidR="00FF2DC5" w:rsidRPr="007F47D0" w:rsidRDefault="00577725" w:rsidP="007F47D0">
      <w:pPr>
        <w:pStyle w:val="Heading1"/>
      </w:pPr>
      <w:bookmarkStart w:id="19" w:name="study-design-and-implementation"/>
      <w:bookmarkStart w:id="20" w:name="_Toc156378664"/>
      <w:bookmarkStart w:id="21" w:name="_Toc181256539"/>
      <w:r w:rsidRPr="7706D474">
        <w:t>Study design and implementation</w:t>
      </w:r>
      <w:bookmarkEnd w:id="19"/>
      <w:bookmarkEnd w:id="20"/>
      <w:bookmarkEnd w:id="21"/>
    </w:p>
    <w:p w14:paraId="639D029A" w14:textId="7CA685DB" w:rsidR="00A75D8C" w:rsidRPr="007F47D0" w:rsidRDefault="00E373A9" w:rsidP="007F47D0">
      <w:pPr>
        <w:pStyle w:val="Heading2"/>
      </w:pPr>
      <w:bookmarkStart w:id="22" w:name="phenotypes-of-interest"/>
      <w:bookmarkStart w:id="23" w:name="_Toc156378665"/>
      <w:bookmarkStart w:id="24" w:name="_Toc181256540"/>
      <w:r>
        <w:t>Clinical Conditions (Phenotypes)</w:t>
      </w:r>
      <w:r w:rsidR="00577725" w:rsidRPr="7706D474">
        <w:t xml:space="preserve"> of interest</w:t>
      </w:r>
      <w:bookmarkEnd w:id="22"/>
      <w:bookmarkEnd w:id="23"/>
      <w:bookmarkEnd w:id="24"/>
    </w:p>
    <w:p w14:paraId="1979C9CE" w14:textId="714D699F" w:rsidR="00FF2DC5" w:rsidRPr="003279FA" w:rsidRDefault="00577725" w:rsidP="00A61CA6">
      <w:pPr>
        <w:pStyle w:val="BodyText"/>
      </w:pPr>
      <w:r>
        <w:t>This study aims to identify genetic predisposition to specific syndromes of critical illness</w:t>
      </w:r>
      <w:r w:rsidR="00C10C9B">
        <w:t xml:space="preserve"> and outbreaks or exposures of public health interest</w:t>
      </w:r>
      <w:r>
        <w:t xml:space="preserve">. </w:t>
      </w:r>
      <w:r w:rsidR="00E0436D">
        <w:t>This includes</w:t>
      </w:r>
      <w:r>
        <w:t xml:space="preserve"> susceptibility to life-threatening </w:t>
      </w:r>
      <w:r>
        <w:lastRenderedPageBreak/>
        <w:t xml:space="preserve">infections, </w:t>
      </w:r>
      <w:r w:rsidR="00A1632F">
        <w:t xml:space="preserve">and </w:t>
      </w:r>
      <w:r>
        <w:t xml:space="preserve">susceptibility to </w:t>
      </w:r>
      <w:r w:rsidR="00516535">
        <w:t xml:space="preserve">adverse </w:t>
      </w:r>
      <w:r w:rsidR="00D00D9E">
        <w:t>outcomes</w:t>
      </w:r>
      <w:r w:rsidR="00516535">
        <w:t xml:space="preserve">, including mortality, </w:t>
      </w:r>
      <w:r>
        <w:t>following the onset of organ failure due to sepsis</w:t>
      </w:r>
      <w:r w:rsidR="001D72A2">
        <w:t xml:space="preserve"> </w:t>
      </w:r>
      <w:r>
        <w:t xml:space="preserve">or sterile injury. </w:t>
      </w:r>
    </w:p>
    <w:p w14:paraId="540F790D" w14:textId="39A243AC" w:rsidR="00FF2DC5" w:rsidRPr="007F47D0" w:rsidRDefault="00577725" w:rsidP="007F47D0">
      <w:pPr>
        <w:pStyle w:val="Heading2"/>
      </w:pPr>
      <w:bookmarkStart w:id="25" w:name="prospective-recruitment"/>
      <w:bookmarkStart w:id="26" w:name="_Toc156378666"/>
      <w:bookmarkStart w:id="27" w:name="_Toc181256541"/>
      <w:r w:rsidRPr="7706D474">
        <w:t>Prospective recruitment</w:t>
      </w:r>
      <w:bookmarkEnd w:id="25"/>
      <w:bookmarkEnd w:id="26"/>
      <w:bookmarkEnd w:id="27"/>
    </w:p>
    <w:p w14:paraId="70A3C6A7" w14:textId="52BDA606" w:rsidR="00FF2DC5" w:rsidRDefault="008C4FC8" w:rsidP="00A61CA6">
      <w:pPr>
        <w:pStyle w:val="BodyText"/>
      </w:pPr>
      <w:r>
        <w:t>Consenting p</w:t>
      </w:r>
      <w:r w:rsidR="00577725" w:rsidRPr="003279FA">
        <w:t>atients meeting the entry criteria</w:t>
      </w:r>
      <w:r w:rsidR="005F3496">
        <w:t xml:space="preserve"> </w:t>
      </w:r>
      <w:r w:rsidR="00577725" w:rsidRPr="003279FA">
        <w:t>will be asked to provide a single DNA sample.</w:t>
      </w:r>
    </w:p>
    <w:p w14:paraId="0C7B475D" w14:textId="35E00539" w:rsidR="006703A4" w:rsidRPr="007F47D0" w:rsidRDefault="006703A4" w:rsidP="006703A4">
      <w:pPr>
        <w:pStyle w:val="Heading2"/>
      </w:pPr>
      <w:bookmarkStart w:id="28" w:name="_Toc181256542"/>
      <w:r>
        <w:t>Laboratory sampling</w:t>
      </w:r>
      <w:bookmarkEnd w:id="28"/>
    </w:p>
    <w:p w14:paraId="7240BAB8" w14:textId="09D4694C" w:rsidR="006703A4" w:rsidRDefault="5B66714C" w:rsidP="00A61CA6">
      <w:pPr>
        <w:pStyle w:val="BodyText"/>
      </w:pPr>
      <w:r>
        <w:t>In some cases, with consent, samples from residual material will be obtained from clinical samples. This will be done on a case-by-case basis by direct negotiation with hospital laboratory teams in participating sites, for example to investigate outbreaks or other public health threats.</w:t>
      </w:r>
    </w:p>
    <w:p w14:paraId="7BC40CAF" w14:textId="0FA32929" w:rsidR="00D21E0C" w:rsidRDefault="00E402A3" w:rsidP="00D21E0C">
      <w:pPr>
        <w:pStyle w:val="Heading2"/>
      </w:pPr>
      <w:bookmarkStart w:id="29" w:name="_Toc156378668"/>
      <w:bookmarkStart w:id="30" w:name="_Toc181256543"/>
      <w:r w:rsidRPr="00774698">
        <w:t xml:space="preserve">GenOMICC </w:t>
      </w:r>
      <w:r w:rsidR="00EB6E87" w:rsidRPr="00774698">
        <w:t>A</w:t>
      </w:r>
      <w:r w:rsidR="00D51E0F" w:rsidRPr="00774698">
        <w:t>cute</w:t>
      </w:r>
      <w:r w:rsidR="00D51E0F" w:rsidRPr="7706D474">
        <w:t xml:space="preserve"> sub-study</w:t>
      </w:r>
      <w:bookmarkEnd w:id="29"/>
      <w:bookmarkEnd w:id="30"/>
    </w:p>
    <w:p w14:paraId="0479D270" w14:textId="470A4B49" w:rsidR="0001780C" w:rsidRDefault="00A253EA" w:rsidP="008F16D9">
      <w:pPr>
        <w:pStyle w:val="Heading3"/>
      </w:pPr>
      <w:bookmarkStart w:id="31" w:name="_Toc181256544"/>
      <w:r>
        <w:t>Rationale</w:t>
      </w:r>
      <w:r w:rsidR="0001780C">
        <w:t xml:space="preserve"> </w:t>
      </w:r>
      <w:r>
        <w:t>for</w:t>
      </w:r>
      <w:r w:rsidR="0001780C">
        <w:t xml:space="preserve"> </w:t>
      </w:r>
      <w:r>
        <w:t>GenOMICC</w:t>
      </w:r>
      <w:r w:rsidR="008F16D9">
        <w:t xml:space="preserve"> </w:t>
      </w:r>
      <w:r>
        <w:t>Acute</w:t>
      </w:r>
      <w:bookmarkEnd w:id="31"/>
    </w:p>
    <w:p w14:paraId="79F0ED22" w14:textId="1032B5EC" w:rsidR="00D51E0F" w:rsidRPr="00DF6EBE" w:rsidRDefault="00D51E0F" w:rsidP="00EF5657">
      <w:pPr>
        <w:pStyle w:val="BodyText"/>
      </w:pPr>
      <w:r w:rsidRPr="00DF6EBE">
        <w:t xml:space="preserve">GenOMICC Acute extends the GenOMICC study to </w:t>
      </w:r>
      <w:r w:rsidR="00B83733">
        <w:t xml:space="preserve">include </w:t>
      </w:r>
      <w:r w:rsidRPr="00DF6EBE">
        <w:t xml:space="preserve">deep biological </w:t>
      </w:r>
      <w:r w:rsidR="005908A0">
        <w:t>characterisation</w:t>
      </w:r>
      <w:r w:rsidRPr="00DF6EBE">
        <w:t xml:space="preserve"> </w:t>
      </w:r>
      <w:r>
        <w:t>o</w:t>
      </w:r>
      <w:r w:rsidR="3C6575E0">
        <w:t xml:space="preserve">f a sub-set of </w:t>
      </w:r>
      <w:r w:rsidR="02F16074">
        <w:t>patients</w:t>
      </w:r>
      <w:r w:rsidR="001E02AC">
        <w:t>,</w:t>
      </w:r>
      <w:r w:rsidRPr="00DF6EBE">
        <w:t xml:space="preserve"> enabling:</w:t>
      </w:r>
    </w:p>
    <w:p w14:paraId="0FD82CCD" w14:textId="588972CE" w:rsidR="00D51E0F" w:rsidRPr="00DF6EBE" w:rsidRDefault="00D51E0F" w:rsidP="009E0B47">
      <w:pPr>
        <w:pStyle w:val="BasicNumberedList"/>
      </w:pPr>
      <w:r w:rsidRPr="00DF6EBE">
        <w:t>Identification</w:t>
      </w:r>
      <w:r w:rsidR="008D0430">
        <w:t>, early diagnosis</w:t>
      </w:r>
      <w:r w:rsidRPr="00DF6EBE">
        <w:t xml:space="preserve">, and genetic confirmation, of </w:t>
      </w:r>
      <w:r w:rsidR="00AC3407" w:rsidRPr="00DF6EBE">
        <w:t>mechanistically distinct</w:t>
      </w:r>
      <w:r w:rsidRPr="00DF6EBE">
        <w:t xml:space="preserve"> subgroups of patients within broad critical illness syndromes such as sepsis</w:t>
      </w:r>
      <w:r w:rsidR="007A0B43">
        <w:t xml:space="preserve"> and</w:t>
      </w:r>
      <w:r w:rsidR="001E02AC">
        <w:t xml:space="preserve"> </w:t>
      </w:r>
      <w:r w:rsidRPr="00DF6EBE">
        <w:t>ARDS</w:t>
      </w:r>
    </w:p>
    <w:p w14:paraId="4C2BE320" w14:textId="2C062C7E" w:rsidR="00D51E0F" w:rsidRPr="00DF6EBE" w:rsidRDefault="00D51E0F" w:rsidP="009E0B47">
      <w:pPr>
        <w:pStyle w:val="BasicNumberedList"/>
      </w:pPr>
      <w:r w:rsidRPr="00DF6EBE">
        <w:t>Discovery of specific genetic variants with strong influence on quantitative measures (quantitative trait loci, QTLs), such as gene expression, DNA methylation, chromatin marks, or release of nucleotides into the plasma from specific cell types or pathogens</w:t>
      </w:r>
    </w:p>
    <w:p w14:paraId="07C00FF3" w14:textId="1FEC753E" w:rsidR="00D51E0F" w:rsidRDefault="007A0B43" w:rsidP="00572A93">
      <w:pPr>
        <w:pStyle w:val="BasicNumberedList"/>
      </w:pPr>
      <w:r>
        <w:t xml:space="preserve">Early diagnosis </w:t>
      </w:r>
      <w:r w:rsidR="00FA4156">
        <w:t>of organ injury</w:t>
      </w:r>
      <w:r w:rsidR="00854F15">
        <w:t>,</w:t>
      </w:r>
      <w:r>
        <w:t xml:space="preserve"> i</w:t>
      </w:r>
      <w:r w:rsidR="00D51E0F" w:rsidRPr="00DF6EBE">
        <w:t>dentification of pathogens and quantification of pathogen load using advanced diagnostics</w:t>
      </w:r>
      <w:r w:rsidR="00C1300C">
        <w:t xml:space="preserve"> </w:t>
      </w:r>
      <w:r w:rsidR="00D51E0F" w:rsidRPr="00DF6EBE">
        <w:t xml:space="preserve">to refine diagnoses for host genetic study, provide covariates for outcome studies, </w:t>
      </w:r>
      <w:proofErr w:type="gramStart"/>
      <w:r w:rsidR="00D51E0F" w:rsidRPr="00DF6EBE">
        <w:t>identify</w:t>
      </w:r>
      <w:proofErr w:type="gramEnd"/>
      <w:r w:rsidR="00D51E0F" w:rsidRPr="00DF6EBE">
        <w:t xml:space="preserve"> and characterise new pathogens</w:t>
      </w:r>
      <w:r w:rsidR="00FA4156">
        <w:t xml:space="preserve">, </w:t>
      </w:r>
      <w:r w:rsidR="006C2717">
        <w:t>and develop diagnostic tests</w:t>
      </w:r>
    </w:p>
    <w:p w14:paraId="53A6E6C1" w14:textId="4DF2D9D4" w:rsidR="008F16D9" w:rsidRDefault="00A253EA" w:rsidP="005717E5">
      <w:pPr>
        <w:pStyle w:val="Heading3"/>
      </w:pPr>
      <w:bookmarkStart w:id="32" w:name="_Toc181256545"/>
      <w:r>
        <w:t>E</w:t>
      </w:r>
      <w:r w:rsidR="008F16D9">
        <w:t>ligibility criteria</w:t>
      </w:r>
      <w:bookmarkEnd w:id="32"/>
    </w:p>
    <w:p w14:paraId="5C8E92DE" w14:textId="5C0C404D" w:rsidR="005717E5" w:rsidRDefault="005717E5" w:rsidP="005717E5">
      <w:r>
        <w:t>All GenOMICC patients are eligible for the Acute sub-study if:</w:t>
      </w:r>
    </w:p>
    <w:p w14:paraId="5D0BBDCF" w14:textId="500FCEDE" w:rsidR="005717E5" w:rsidRDefault="005717E5" w:rsidP="005717E5">
      <w:pPr>
        <w:pStyle w:val="BasicNumberedList"/>
        <w:numPr>
          <w:ilvl w:val="0"/>
          <w:numId w:val="10"/>
        </w:numPr>
      </w:pPr>
      <w:r>
        <w:t>the patient’s estimated or measured body weight is more than 20kg</w:t>
      </w:r>
    </w:p>
    <w:p w14:paraId="09800054" w14:textId="2257CF13" w:rsidR="005717E5" w:rsidRDefault="005717E5" w:rsidP="005717E5">
      <w:pPr>
        <w:pStyle w:val="BasicNumberedList"/>
        <w:ind w:left="714" w:hanging="357"/>
      </w:pPr>
      <w:r>
        <w:t>samples can be obtained within 48 hours of admission to critical care</w:t>
      </w:r>
    </w:p>
    <w:p w14:paraId="0E065755" w14:textId="48D9C8FF" w:rsidR="005717E5" w:rsidRDefault="00A253EA" w:rsidP="005717E5">
      <w:pPr>
        <w:pStyle w:val="Heading3"/>
      </w:pPr>
      <w:bookmarkStart w:id="33" w:name="_Toc181256546"/>
      <w:r>
        <w:t>R</w:t>
      </w:r>
      <w:r w:rsidR="005717E5">
        <w:t xml:space="preserve">ecruitment procedures for </w:t>
      </w:r>
      <w:r>
        <w:t>GenOMICC</w:t>
      </w:r>
      <w:r w:rsidR="005717E5">
        <w:t xml:space="preserve"> </w:t>
      </w:r>
      <w:r>
        <w:t>Acute</w:t>
      </w:r>
      <w:bookmarkEnd w:id="33"/>
    </w:p>
    <w:p w14:paraId="21882DCC" w14:textId="77125722" w:rsidR="00D21E0C" w:rsidRDefault="005717E5" w:rsidP="005717E5">
      <w:pPr>
        <w:pStyle w:val="BasicNumberedList"/>
        <w:numPr>
          <w:ilvl w:val="0"/>
          <w:numId w:val="0"/>
        </w:numPr>
      </w:pPr>
      <w:r w:rsidRPr="005717E5">
        <w:t>Recruitment of participants to the GenOMICC Acute sub-study will take place in approved research locations following separate discussion with the central study team. Not all sites are expected to take part in this sub-study.</w:t>
      </w:r>
      <w:r>
        <w:t xml:space="preserve"> </w:t>
      </w:r>
    </w:p>
    <w:p w14:paraId="5608FA30" w14:textId="25DFE1E3" w:rsidR="00FF2DC5" w:rsidRPr="007F47D0" w:rsidRDefault="00577725" w:rsidP="007F47D0">
      <w:pPr>
        <w:pStyle w:val="Heading2"/>
      </w:pPr>
      <w:bookmarkStart w:id="34" w:name="recruitment-of-survivors"/>
      <w:bookmarkStart w:id="35" w:name="_Toc156378670"/>
      <w:bookmarkStart w:id="36" w:name="_Toc181256547"/>
      <w:r w:rsidRPr="7706D474">
        <w:lastRenderedPageBreak/>
        <w:t>R</w:t>
      </w:r>
      <w:r w:rsidR="00AC3407" w:rsidRPr="7706D474">
        <w:t>e</w:t>
      </w:r>
      <w:r w:rsidRPr="7706D474">
        <w:t>cruitment of survivors</w:t>
      </w:r>
      <w:bookmarkEnd w:id="34"/>
      <w:bookmarkEnd w:id="35"/>
      <w:bookmarkEnd w:id="36"/>
      <w:r w:rsidR="005F3496" w:rsidRPr="7706D474">
        <w:t xml:space="preserve"> </w:t>
      </w:r>
    </w:p>
    <w:p w14:paraId="3172F7A7" w14:textId="6B73552A" w:rsidR="00FF2DC5" w:rsidRPr="003279FA" w:rsidRDefault="00577725" w:rsidP="00A61CA6">
      <w:pPr>
        <w:pStyle w:val="BodyText"/>
      </w:pPr>
      <w:r w:rsidRPr="003279FA">
        <w:t xml:space="preserve">The group of </w:t>
      </w:r>
      <w:r w:rsidR="001C0178">
        <w:t xml:space="preserve">critical illness </w:t>
      </w:r>
      <w:r w:rsidRPr="003279FA">
        <w:t xml:space="preserve">survivors eligible for recruitment for this study are generally healthy individuals who have suffered critical illness. We know from extensive epidemiological research that, after recovery from critical illness, mortality returns to close to the baseline for the </w:t>
      </w:r>
      <w:r w:rsidR="00D42B9C" w:rsidRPr="003279FA">
        <w:t>population (</w:t>
      </w:r>
      <w:r w:rsidRPr="003279FA">
        <w:t xml:space="preserve">Lone et al. 2016). We have therefore assessed that there is a very low risk </w:t>
      </w:r>
      <w:r w:rsidR="00FE1B51">
        <w:t>that</w:t>
      </w:r>
      <w:r w:rsidR="0089539B">
        <w:t xml:space="preserve"> patients we</w:t>
      </w:r>
      <w:r w:rsidRPr="003279FA">
        <w:t xml:space="preserve"> </w:t>
      </w:r>
      <w:r w:rsidR="65EFE461">
        <w:t>attempt to</w:t>
      </w:r>
      <w:r>
        <w:t xml:space="preserve"> </w:t>
      </w:r>
      <w:r w:rsidR="00CD4104">
        <w:t xml:space="preserve">contact </w:t>
      </w:r>
      <w:r w:rsidR="0089539B">
        <w:t>will</w:t>
      </w:r>
      <w:r w:rsidRPr="003279FA">
        <w:t xml:space="preserve"> have died</w:t>
      </w:r>
      <w:r w:rsidR="007E7021">
        <w:t xml:space="preserve"> since discharge from hospital</w:t>
      </w:r>
      <w:r w:rsidRPr="003279FA">
        <w:t xml:space="preserve">; hence the recruitment strategy we will use will be comparable to primary care studies in the general population, rather than the more burdensome approaches that are used in studies of patients at a high risk of death. Specifically, we will not contact family doctors to confirm that a patient is still alive before </w:t>
      </w:r>
      <w:r w:rsidR="006512D6">
        <w:t xml:space="preserve">approaching </w:t>
      </w:r>
      <w:r w:rsidRPr="003279FA">
        <w:t>the patient.</w:t>
      </w:r>
    </w:p>
    <w:p w14:paraId="229390F2" w14:textId="046BE605" w:rsidR="00FF2DC5" w:rsidRDefault="00577725" w:rsidP="00A61CA6">
      <w:pPr>
        <w:pStyle w:val="BodyText"/>
      </w:pPr>
      <w:r w:rsidRPr="003279FA">
        <w:t xml:space="preserve">Patients will be identified from hospital records by </w:t>
      </w:r>
      <w:r w:rsidR="002D5D22">
        <w:t xml:space="preserve">clinical or </w:t>
      </w:r>
      <w:r w:rsidRPr="003279FA">
        <w:t xml:space="preserve">research </w:t>
      </w:r>
      <w:r w:rsidRPr="00A61CA6">
        <w:t>staff</w:t>
      </w:r>
      <w:r w:rsidRPr="003279FA">
        <w:t xml:space="preserve"> in the critical care unit that provided treatment to each patient. </w:t>
      </w:r>
      <w:r w:rsidR="006717D7">
        <w:t>The</w:t>
      </w:r>
      <w:r w:rsidRPr="003279FA">
        <w:t xml:space="preserve"> patient </w:t>
      </w:r>
      <w:r w:rsidR="006717D7">
        <w:t>will be contacted by</w:t>
      </w:r>
      <w:r w:rsidR="002D2DEB">
        <w:t xml:space="preserve"> telephone or post by</w:t>
      </w:r>
      <w:r w:rsidRPr="003279FA">
        <w:t xml:space="preserve"> a member of the clinical team, who could reasonably be expected to have access to the patient’s medical details. This may include a research nurse affiliated to the intensive care unit in which the patient was treated.</w:t>
      </w:r>
    </w:p>
    <w:p w14:paraId="122C4E23" w14:textId="657EA837" w:rsidR="007B3D45" w:rsidRDefault="007B3D45" w:rsidP="00A61CA6">
      <w:pPr>
        <w:pStyle w:val="BodyText"/>
      </w:pPr>
      <w:r w:rsidRPr="003279FA">
        <w:t>Patients who</w:t>
      </w:r>
      <w:r>
        <w:t xml:space="preserve"> cannot be contacted by phone and</w:t>
      </w:r>
      <w:r w:rsidRPr="003279FA">
        <w:t xml:space="preserve"> do not respond after a period of four weeks</w:t>
      </w:r>
      <w:r>
        <w:t xml:space="preserve"> from an initial letter,</w:t>
      </w:r>
      <w:r w:rsidRPr="003279FA">
        <w:t xml:space="preserve"> will be sent a second letter in </w:t>
      </w:r>
      <w:r>
        <w:t xml:space="preserve">case </w:t>
      </w:r>
      <w:r w:rsidRPr="003279FA">
        <w:t xml:space="preserve">the first letter </w:t>
      </w:r>
      <w:r w:rsidR="00F70085">
        <w:t>was</w:t>
      </w:r>
      <w:r w:rsidRPr="003279FA">
        <w:t xml:space="preserve"> lost in the post. If a patient do</w:t>
      </w:r>
      <w:r>
        <w:t>es</w:t>
      </w:r>
      <w:r w:rsidRPr="003279FA">
        <w:t xml:space="preserve"> not respond to this second letter, the study team will assume that this patient does not want to participate.</w:t>
      </w:r>
    </w:p>
    <w:p w14:paraId="47083BD8" w14:textId="1634F8ED" w:rsidR="0063041A" w:rsidRPr="00572A93" w:rsidRDefault="0063041A" w:rsidP="7DA144BB">
      <w:pPr>
        <w:pStyle w:val="BodyText"/>
      </w:pPr>
      <w:r w:rsidRPr="00572A93">
        <w:t>Patients may be contacted in the first instance by telephone or in writing, depending on the recruitment strategy and preference of the recruiting site.</w:t>
      </w:r>
      <w:r w:rsidR="7AD629BE" w:rsidRPr="00572A93">
        <w:t xml:space="preserve"> Letters may be personalised </w:t>
      </w:r>
      <w:r w:rsidR="00C8508D" w:rsidRPr="00572A93">
        <w:t xml:space="preserve">from the supplied template </w:t>
      </w:r>
      <w:r w:rsidR="00887C7D" w:rsidRPr="00572A93">
        <w:t xml:space="preserve">based </w:t>
      </w:r>
      <w:r w:rsidR="31A3C1AE" w:rsidRPr="00572A93">
        <w:t>on the local site knowledge of the patient</w:t>
      </w:r>
      <w:r w:rsidR="00887C7D" w:rsidRPr="00572A93">
        <w:t xml:space="preserve"> </w:t>
      </w:r>
      <w:r w:rsidR="7AD629BE" w:rsidRPr="00572A93">
        <w:t>if appropriate.</w:t>
      </w:r>
    </w:p>
    <w:p w14:paraId="48BE4D5C" w14:textId="2985E3D9" w:rsidR="00F70085" w:rsidRDefault="00F70085" w:rsidP="00A61CA6">
      <w:pPr>
        <w:pStyle w:val="BodyText"/>
      </w:pPr>
      <w:r w:rsidRPr="00D67A71">
        <w:t>Patients in this category may also volunteer to take part in the study by registering their interest in the study online (see ‘Recruitment of a comparison (control) group’).</w:t>
      </w:r>
      <w:r w:rsidRPr="3F88E400">
        <w:t xml:space="preserve"> </w:t>
      </w:r>
    </w:p>
    <w:p w14:paraId="47AAA88D" w14:textId="1D883E94" w:rsidR="00CF137F" w:rsidRPr="003279FA" w:rsidRDefault="00CF137F" w:rsidP="002A7DD8">
      <w:pPr>
        <w:pStyle w:val="Heading2"/>
      </w:pPr>
      <w:bookmarkStart w:id="37" w:name="_Toc156378671"/>
      <w:bookmarkStart w:id="38" w:name="_Toc181256548"/>
      <w:r w:rsidRPr="7706D474">
        <w:t xml:space="preserve">Recruitment of </w:t>
      </w:r>
      <w:r w:rsidR="004103E1">
        <w:t>a comparison (control) group</w:t>
      </w:r>
      <w:bookmarkEnd w:id="37"/>
      <w:bookmarkEnd w:id="38"/>
    </w:p>
    <w:p w14:paraId="7910F2CD" w14:textId="078E47D2" w:rsidR="00CF137F" w:rsidRDefault="00B7324E" w:rsidP="00A61CA6">
      <w:pPr>
        <w:pStyle w:val="BodyText"/>
      </w:pPr>
      <w:r>
        <w:t xml:space="preserve">Any </w:t>
      </w:r>
      <w:r w:rsidR="00DA6195">
        <w:t xml:space="preserve">person living in </w:t>
      </w:r>
      <w:r w:rsidR="002E6351">
        <w:t>a region in which GenOMICC is recruiting critically ill patients will be eligible</w:t>
      </w:r>
      <w:r w:rsidR="007C7427" w:rsidRPr="54F04879">
        <w:t xml:space="preserve"> to volunteer to take part in the study. Volunteers will be able to provide their contact details on the study website and join the study either using conventional paper-based consent procedures or supplemented, where appropriate, with an online consent tool on the study website.</w:t>
      </w:r>
    </w:p>
    <w:p w14:paraId="1809EBE5" w14:textId="0AC1B314" w:rsidR="2B29200A" w:rsidRDefault="003B4B71" w:rsidP="00EF5657">
      <w:pPr>
        <w:pStyle w:val="BodyText"/>
      </w:pPr>
      <w:r>
        <w:t xml:space="preserve">Volunteers may be contacted occasionally to share </w:t>
      </w:r>
      <w:r w:rsidR="00EC3BDB">
        <w:t>ethically approved</w:t>
      </w:r>
      <w:r>
        <w:t xml:space="preserve"> information or updates about the study.</w:t>
      </w:r>
      <w:r w:rsidR="00EC3BDB">
        <w:t xml:space="preserve"> </w:t>
      </w:r>
      <w:r w:rsidR="00D67A71">
        <w:t>Further, we may contact this group to ask if there would be interest in patient and public involvement (PPI)</w:t>
      </w:r>
      <w:r w:rsidR="00B12644">
        <w:t xml:space="preserve"> in research</w:t>
      </w:r>
      <w:r w:rsidR="00D67A71">
        <w:t>. PPI involvement of any kind is completely voluntar</w:t>
      </w:r>
      <w:r w:rsidR="00EC3BDB">
        <w:t>y.</w:t>
      </w:r>
      <w:r w:rsidR="00487C6C">
        <w:t xml:space="preserve"> C</w:t>
      </w:r>
      <w:r w:rsidR="2B29200A" w:rsidRPr="796297B6">
        <w:t>ommunication will be primarily electronically by email</w:t>
      </w:r>
      <w:r w:rsidR="00065518">
        <w:t>. P</w:t>
      </w:r>
      <w:r w:rsidR="2B29200A" w:rsidRPr="796297B6">
        <w:t xml:space="preserve">aper copies </w:t>
      </w:r>
      <w:r w:rsidR="00065518">
        <w:t>will be provided</w:t>
      </w:r>
      <w:r w:rsidR="2B29200A" w:rsidRPr="796297B6">
        <w:t xml:space="preserve"> if requested.</w:t>
      </w:r>
    </w:p>
    <w:p w14:paraId="1A3F8A8D" w14:textId="3B71960D" w:rsidR="00E25A1E" w:rsidRPr="007F47D0" w:rsidRDefault="00387F34" w:rsidP="007F47D0">
      <w:pPr>
        <w:pStyle w:val="Heading2"/>
      </w:pPr>
      <w:bookmarkStart w:id="39" w:name="_Toc156378672"/>
      <w:bookmarkStart w:id="40" w:name="_Toc181256549"/>
      <w:r>
        <w:lastRenderedPageBreak/>
        <w:t>Obtaining samples from participants in the community</w:t>
      </w:r>
      <w:bookmarkEnd w:id="39"/>
      <w:bookmarkEnd w:id="40"/>
    </w:p>
    <w:p w14:paraId="12B3023E" w14:textId="2D83D0F4" w:rsidR="00E25A1E" w:rsidRPr="003279FA" w:rsidRDefault="00C47159" w:rsidP="00A61CA6">
      <w:pPr>
        <w:pStyle w:val="BodyText"/>
      </w:pPr>
      <w:r w:rsidRPr="009F392C">
        <w:t>Participants</w:t>
      </w:r>
      <w:r w:rsidR="00E25A1E">
        <w:t xml:space="preserve"> will be offered multiple routes to participate in the study. Consent will be obtained and recorded (see below). Participants</w:t>
      </w:r>
      <w:r w:rsidR="00E25A1E" w:rsidRPr="003279FA">
        <w:t xml:space="preserve"> will be sent a</w:t>
      </w:r>
      <w:r w:rsidR="008031EF">
        <w:t xml:space="preserve"> </w:t>
      </w:r>
      <w:r w:rsidR="00972BB4">
        <w:t>record of their consent</w:t>
      </w:r>
      <w:r w:rsidR="00E25A1E">
        <w:t xml:space="preserve"> and </w:t>
      </w:r>
      <w:r w:rsidRPr="009F392C">
        <w:t xml:space="preserve">a </w:t>
      </w:r>
      <w:r w:rsidR="00E25A1E">
        <w:t>sample collection kit</w:t>
      </w:r>
      <w:r w:rsidR="00D42B9C">
        <w:t xml:space="preserve">. </w:t>
      </w:r>
      <w:r w:rsidR="00D42B9C" w:rsidRPr="009F392C">
        <w:t xml:space="preserve">The kit will contain </w:t>
      </w:r>
      <w:r w:rsidRPr="009F392C">
        <w:t xml:space="preserve">a copy of the information sheet, </w:t>
      </w:r>
      <w:r w:rsidR="00D42B9C" w:rsidRPr="009F392C">
        <w:t>a pre-labelled EDTA blood collection tube</w:t>
      </w:r>
      <w:r w:rsidRPr="009F392C">
        <w:t xml:space="preserve"> and</w:t>
      </w:r>
      <w:r w:rsidR="00D42B9C" w:rsidRPr="009F392C">
        <w:t xml:space="preserve"> UN</w:t>
      </w:r>
      <w:r w:rsidR="00E25A1E" w:rsidRPr="009F392C">
        <w:t>3373-compliant sample transport packagin</w:t>
      </w:r>
      <w:r w:rsidRPr="009F392C">
        <w:t>g</w:t>
      </w:r>
      <w:r w:rsidR="00D42B9C" w:rsidRPr="009F392C">
        <w:t>.</w:t>
      </w:r>
      <w:r w:rsidR="00D42B9C">
        <w:t xml:space="preserve"> </w:t>
      </w:r>
      <w:r w:rsidR="00E25A1E">
        <w:t xml:space="preserve">Venepuncture will then be performed by a qualified healthcare provider or phlebotomist in a location that meets the needs of </w:t>
      </w:r>
      <w:r w:rsidR="00E25A1E" w:rsidRPr="00A61CA6">
        <w:t>the</w:t>
      </w:r>
      <w:r w:rsidR="00E25A1E">
        <w:t xml:space="preserve"> participant, subject to availability. These </w:t>
      </w:r>
      <w:r w:rsidR="00362608">
        <w:t>may</w:t>
      </w:r>
      <w:r w:rsidR="00E25A1E">
        <w:t xml:space="preserve"> include: a district nurse, a research nurse operating in an outpatient clinic or clinical research facility, a research nurse in the patient’s home, or an otherwise </w:t>
      </w:r>
      <w:proofErr w:type="gramStart"/>
      <w:r w:rsidR="00E25A1E">
        <w:t>appropriately-qualified</w:t>
      </w:r>
      <w:proofErr w:type="gramEnd"/>
      <w:r w:rsidR="00E25A1E">
        <w:t xml:space="preserve"> practitioner</w:t>
      </w:r>
      <w:r w:rsidR="00D07D93">
        <w:t xml:space="preserve"> in an appropriate location, </w:t>
      </w:r>
      <w:r w:rsidR="00E25A1E">
        <w:t xml:space="preserve">subject to </w:t>
      </w:r>
      <w:r w:rsidRPr="009F392C">
        <w:t xml:space="preserve">local </w:t>
      </w:r>
      <w:r w:rsidR="00E25A1E" w:rsidRPr="009F392C">
        <w:t>risk assessment</w:t>
      </w:r>
      <w:r w:rsidRPr="009F392C">
        <w:t>s and standard operating procedures</w:t>
      </w:r>
      <w:r w:rsidR="00E25A1E">
        <w:t xml:space="preserve">. </w:t>
      </w:r>
      <w:proofErr w:type="gramStart"/>
      <w:r w:rsidR="00E25A1E">
        <w:t>In the event that</w:t>
      </w:r>
      <w:proofErr w:type="gramEnd"/>
      <w:r w:rsidR="00E25A1E">
        <w:t xml:space="preserve"> a blood sample cannot be obtained, patients will be sent a saliva collection kit by post.</w:t>
      </w:r>
    </w:p>
    <w:p w14:paraId="7869AEC8" w14:textId="78315F8B" w:rsidR="00FF2DC5" w:rsidRPr="007F47D0" w:rsidRDefault="00577725" w:rsidP="007F47D0">
      <w:pPr>
        <w:pStyle w:val="Heading2"/>
      </w:pPr>
      <w:bookmarkStart w:id="41" w:name="repeat-sampling-of-survivors"/>
      <w:bookmarkStart w:id="42" w:name="_Toc156378673"/>
      <w:bookmarkStart w:id="43" w:name="_Toc181256550"/>
      <w:r w:rsidRPr="7706D474">
        <w:t>Repeat sampling of survivors</w:t>
      </w:r>
      <w:bookmarkEnd w:id="41"/>
      <w:bookmarkEnd w:id="42"/>
      <w:bookmarkEnd w:id="43"/>
    </w:p>
    <w:p w14:paraId="176FDB4B" w14:textId="58392A5D" w:rsidR="00E140A3" w:rsidRPr="00FD38AA" w:rsidRDefault="00577725" w:rsidP="00A61CA6">
      <w:pPr>
        <w:pStyle w:val="BodyText"/>
      </w:pPr>
      <w:r w:rsidRPr="003279FA">
        <w:t>Following recovery from acute illness, a subset of critical illness survivors will be invited to provide additional blood samples for further investigation</w:t>
      </w:r>
      <w:r w:rsidR="002411E5">
        <w:t xml:space="preserve"> at specific centres.</w:t>
      </w:r>
    </w:p>
    <w:p w14:paraId="39D92466" w14:textId="39FAE355" w:rsidR="00FF2DC5" w:rsidRPr="007F47D0" w:rsidRDefault="00462B03" w:rsidP="007F47D0">
      <w:pPr>
        <w:pStyle w:val="Heading2"/>
      </w:pPr>
      <w:bookmarkStart w:id="44" w:name="_Toc156378674"/>
      <w:bookmarkStart w:id="45" w:name="_Toc181256551"/>
      <w:r>
        <w:t>Study eligibility</w:t>
      </w:r>
      <w:bookmarkEnd w:id="44"/>
      <w:bookmarkEnd w:id="45"/>
    </w:p>
    <w:p w14:paraId="5A562A87" w14:textId="60083760" w:rsidR="00FF2DC5" w:rsidRPr="007F47D0" w:rsidRDefault="00577725" w:rsidP="007F47D0">
      <w:pPr>
        <w:pStyle w:val="Heading3"/>
      </w:pPr>
      <w:bookmarkStart w:id="46" w:name="inclusion-criteria"/>
      <w:bookmarkStart w:id="47" w:name="_Toc156378675"/>
      <w:bookmarkStart w:id="48" w:name="_Toc181256552"/>
      <w:r w:rsidRPr="7706D474">
        <w:t>Inclusion criteria</w:t>
      </w:r>
      <w:bookmarkEnd w:id="46"/>
      <w:bookmarkEnd w:id="47"/>
      <w:bookmarkEnd w:id="48"/>
    </w:p>
    <w:p w14:paraId="448577B7" w14:textId="1BB36C62" w:rsidR="001C6DED" w:rsidRDefault="00381370" w:rsidP="00A61CA6">
      <w:pPr>
        <w:pStyle w:val="BodyText"/>
      </w:pPr>
      <w:r>
        <w:t>P</w:t>
      </w:r>
      <w:r w:rsidR="00577725" w:rsidRPr="003279FA">
        <w:t>atients will</w:t>
      </w:r>
      <w:r w:rsidR="00E326C7">
        <w:t xml:space="preserve"> </w:t>
      </w:r>
      <w:r w:rsidR="00577725" w:rsidRPr="003279FA">
        <w:t>be recruited who:</w:t>
      </w:r>
    </w:p>
    <w:p w14:paraId="4F4E849E" w14:textId="79A843BE" w:rsidR="00FF2DC5" w:rsidRPr="003279FA" w:rsidRDefault="00577725" w:rsidP="004103E1">
      <w:pPr>
        <w:pStyle w:val="BasicBulletList"/>
      </w:pPr>
      <w:r w:rsidRPr="003279FA">
        <w:t xml:space="preserve">Are deemed, in the view of the treating </w:t>
      </w:r>
      <w:r w:rsidR="0063041A">
        <w:t>clinician</w:t>
      </w:r>
      <w:r w:rsidRPr="003279FA">
        <w:t>, to require continuous cardiovascular or respiratory monitoring</w:t>
      </w:r>
      <w:r w:rsidR="0088604D" w:rsidRPr="003279FA">
        <w:t xml:space="preserve"> or </w:t>
      </w:r>
      <w:r w:rsidR="00381370">
        <w:t>any organ support</w:t>
      </w:r>
      <w:r w:rsidRPr="003279FA">
        <w:t>,</w:t>
      </w:r>
    </w:p>
    <w:p w14:paraId="124272C6" w14:textId="77777777" w:rsidR="00FF2DC5" w:rsidRPr="003279FA" w:rsidRDefault="00577725" w:rsidP="004103E1">
      <w:pPr>
        <w:pStyle w:val="BasicBulletList"/>
      </w:pPr>
      <w:r w:rsidRPr="003279FA">
        <w:t>AND provide appropriate consent or assent,</w:t>
      </w:r>
    </w:p>
    <w:p w14:paraId="1AE132D4" w14:textId="0B4FB2EB" w:rsidR="007462EA" w:rsidRPr="007462EA" w:rsidRDefault="00577725" w:rsidP="004103E1">
      <w:pPr>
        <w:pStyle w:val="BasicBulletList"/>
      </w:pPr>
      <w:r w:rsidRPr="003279FA">
        <w:t>AND</w:t>
      </w:r>
      <w:r w:rsidR="00381370">
        <w:t xml:space="preserve"> whose primary reason for admission is </w:t>
      </w:r>
      <w:r w:rsidRPr="003279FA">
        <w:t>one of the following primary diagnoses:</w:t>
      </w:r>
    </w:p>
    <w:p w14:paraId="540E6606" w14:textId="098A8DB2" w:rsidR="007462EA" w:rsidRDefault="007462EA" w:rsidP="008949CD">
      <w:pPr>
        <w:pStyle w:val="ListParagraph"/>
        <w:numPr>
          <w:ilvl w:val="1"/>
          <w:numId w:val="1"/>
        </w:numPr>
      </w:pPr>
      <w:r>
        <w:t>Critical illness caused by any confirmed or suspected infection</w:t>
      </w:r>
    </w:p>
    <w:p w14:paraId="41C17746" w14:textId="2D5B878B" w:rsidR="00D45A22" w:rsidRPr="004103E1" w:rsidRDefault="00D45A22" w:rsidP="00572A93">
      <w:pPr>
        <w:ind w:left="1080"/>
        <w:rPr>
          <w:rStyle w:val="normaltextrun"/>
        </w:rPr>
      </w:pPr>
      <w:r>
        <w:rPr>
          <w:rStyle w:val="normaltextrun"/>
        </w:rPr>
        <w:t>OR</w:t>
      </w:r>
    </w:p>
    <w:p w14:paraId="6CDBED2F" w14:textId="4D731560" w:rsidR="007462EA" w:rsidRPr="00EF5657" w:rsidRDefault="00BC11FB" w:rsidP="008949CD">
      <w:pPr>
        <w:pStyle w:val="ListParagraph"/>
        <w:numPr>
          <w:ilvl w:val="1"/>
          <w:numId w:val="1"/>
        </w:numPr>
      </w:pPr>
      <w:r>
        <w:t xml:space="preserve">Common </w:t>
      </w:r>
      <w:r w:rsidR="007462EA">
        <w:t>non-infectious critical illness syndromes</w:t>
      </w:r>
      <w:r w:rsidR="007E6C30">
        <w:t>:</w:t>
      </w:r>
    </w:p>
    <w:p w14:paraId="4C27227A" w14:textId="6B6B1787" w:rsidR="007462EA" w:rsidRPr="00170639" w:rsidRDefault="007462EA" w:rsidP="008949CD">
      <w:pPr>
        <w:pStyle w:val="BasicBulletList"/>
        <w:numPr>
          <w:ilvl w:val="2"/>
          <w:numId w:val="1"/>
        </w:numPr>
      </w:pPr>
      <w:r w:rsidRPr="731016A7">
        <w:rPr>
          <w:rStyle w:val="normaltextrun"/>
        </w:rPr>
        <w:t>Pancreatitis of any aetiology</w:t>
      </w:r>
    </w:p>
    <w:p w14:paraId="23BA661E" w14:textId="72248C61" w:rsidR="007462EA" w:rsidRDefault="007462EA" w:rsidP="008949CD">
      <w:pPr>
        <w:pStyle w:val="BasicBulletList"/>
        <w:numPr>
          <w:ilvl w:val="2"/>
          <w:numId w:val="1"/>
        </w:numPr>
        <w:rPr>
          <w:rStyle w:val="normaltextrun"/>
        </w:rPr>
      </w:pPr>
      <w:r w:rsidRPr="5DC79F9E">
        <w:rPr>
          <w:rStyle w:val="normaltextrun"/>
        </w:rPr>
        <w:t>Full thickness burns covering &gt;20%</w:t>
      </w:r>
      <w:r w:rsidR="00170639" w:rsidRPr="5DC79F9E">
        <w:rPr>
          <w:rStyle w:val="normaltextrun"/>
        </w:rPr>
        <w:t xml:space="preserve"> </w:t>
      </w:r>
      <w:r w:rsidRPr="5DC79F9E">
        <w:rPr>
          <w:rStyle w:val="normaltextrun"/>
        </w:rPr>
        <w:t>of body surface area</w:t>
      </w:r>
    </w:p>
    <w:p w14:paraId="0637CCEC" w14:textId="55C0D324" w:rsidR="00BC11FB" w:rsidRPr="00170639" w:rsidRDefault="00BC11FB" w:rsidP="008949CD">
      <w:pPr>
        <w:pStyle w:val="ListParagraph"/>
        <w:numPr>
          <w:ilvl w:val="1"/>
          <w:numId w:val="1"/>
        </w:numPr>
        <w:rPr>
          <w:rStyle w:val="normaltextrun"/>
        </w:rPr>
      </w:pPr>
      <w:r>
        <w:t>Rare non-infectious critical illness syndromes:</w:t>
      </w:r>
    </w:p>
    <w:p w14:paraId="21749A3B" w14:textId="5985BB15" w:rsidR="007462EA" w:rsidRPr="00170639" w:rsidRDefault="007462EA" w:rsidP="008949CD">
      <w:pPr>
        <w:pStyle w:val="BasicBulletList"/>
        <w:numPr>
          <w:ilvl w:val="2"/>
          <w:numId w:val="1"/>
        </w:numPr>
        <w:rPr>
          <w:rStyle w:val="normaltextrun"/>
        </w:rPr>
      </w:pPr>
      <w:proofErr w:type="spellStart"/>
      <w:r w:rsidRPr="5DC79F9E">
        <w:rPr>
          <w:rStyle w:val="normaltextrun"/>
        </w:rPr>
        <w:t>Haemophagocytic</w:t>
      </w:r>
      <w:proofErr w:type="spellEnd"/>
      <w:r w:rsidRPr="5DC79F9E">
        <w:rPr>
          <w:rStyle w:val="normaltextrun"/>
        </w:rPr>
        <w:t xml:space="preserve"> syndrome</w:t>
      </w:r>
      <w:r>
        <w:t> </w:t>
      </w:r>
    </w:p>
    <w:p w14:paraId="0254054A" w14:textId="1356B362" w:rsidR="007462EA" w:rsidRPr="00170639" w:rsidRDefault="007462EA" w:rsidP="008949CD">
      <w:pPr>
        <w:pStyle w:val="BasicBulletList"/>
        <w:numPr>
          <w:ilvl w:val="2"/>
          <w:numId w:val="1"/>
        </w:numPr>
      </w:pPr>
      <w:r w:rsidRPr="731016A7">
        <w:rPr>
          <w:rStyle w:val="normaltextrun"/>
        </w:rPr>
        <w:t>Still</w:t>
      </w:r>
      <w:r w:rsidR="00170639" w:rsidRPr="731016A7">
        <w:rPr>
          <w:rStyle w:val="normaltextrun"/>
        </w:rPr>
        <w:t>’</w:t>
      </w:r>
      <w:r w:rsidRPr="731016A7">
        <w:rPr>
          <w:rStyle w:val="normaltextrun"/>
        </w:rPr>
        <w:t>s disease</w:t>
      </w:r>
      <w:r>
        <w:t> </w:t>
      </w:r>
    </w:p>
    <w:p w14:paraId="12162215" w14:textId="77777777" w:rsidR="007462EA" w:rsidRDefault="007462EA" w:rsidP="008949CD">
      <w:pPr>
        <w:pStyle w:val="BasicBulletList"/>
        <w:numPr>
          <w:ilvl w:val="2"/>
          <w:numId w:val="1"/>
        </w:numPr>
      </w:pPr>
      <w:r w:rsidRPr="731016A7">
        <w:rPr>
          <w:rStyle w:val="normaltextrun"/>
        </w:rPr>
        <w:lastRenderedPageBreak/>
        <w:t>Heat stroke</w:t>
      </w:r>
      <w:r>
        <w:t> </w:t>
      </w:r>
    </w:p>
    <w:p w14:paraId="37C6220A" w14:textId="18BABA53" w:rsidR="002B032F" w:rsidRDefault="002B032F" w:rsidP="008949CD">
      <w:pPr>
        <w:pStyle w:val="BasicBulletList"/>
        <w:numPr>
          <w:ilvl w:val="2"/>
          <w:numId w:val="1"/>
        </w:numPr>
      </w:pPr>
      <w:r w:rsidRPr="731016A7">
        <w:rPr>
          <w:rStyle w:val="normaltextrun"/>
        </w:rPr>
        <w:t>Radiation poisoning</w:t>
      </w:r>
      <w:r>
        <w:t> </w:t>
      </w:r>
    </w:p>
    <w:p w14:paraId="14BA183C" w14:textId="5FCBCB7D" w:rsidR="0053008F" w:rsidRDefault="002B032F" w:rsidP="008949CD">
      <w:pPr>
        <w:pStyle w:val="BasicBulletList"/>
        <w:numPr>
          <w:ilvl w:val="2"/>
          <w:numId w:val="1"/>
        </w:numPr>
        <w:rPr>
          <w:rStyle w:val="normaltextrun"/>
        </w:rPr>
      </w:pPr>
      <w:r w:rsidRPr="731016A7">
        <w:rPr>
          <w:rStyle w:val="normaltextrun"/>
        </w:rPr>
        <w:t>Suspected reactions to therapeutic agents</w:t>
      </w:r>
      <w:r w:rsidR="00A56A69">
        <w:rPr>
          <w:rStyle w:val="normaltextrun"/>
        </w:rPr>
        <w:t>:</w:t>
      </w:r>
    </w:p>
    <w:p w14:paraId="5BE31FF0" w14:textId="4F2262DB" w:rsidR="002B032F" w:rsidRPr="00170639" w:rsidRDefault="0053008F" w:rsidP="008949CD">
      <w:pPr>
        <w:pStyle w:val="BasicBulletList"/>
        <w:numPr>
          <w:ilvl w:val="3"/>
          <w:numId w:val="1"/>
        </w:numPr>
        <w:rPr>
          <w:rStyle w:val="normaltextrun"/>
        </w:rPr>
      </w:pPr>
      <w:r>
        <w:rPr>
          <w:rStyle w:val="normaltextrun"/>
        </w:rPr>
        <w:t xml:space="preserve">This includes </w:t>
      </w:r>
      <w:r w:rsidR="002B032F" w:rsidRPr="731016A7">
        <w:rPr>
          <w:rStyle w:val="normaltextrun"/>
        </w:rPr>
        <w:t xml:space="preserve">cell therapies, </w:t>
      </w:r>
      <w:r w:rsidR="002B7D55">
        <w:rPr>
          <w:rStyle w:val="normaltextrun"/>
        </w:rPr>
        <w:t xml:space="preserve">gene therapy, </w:t>
      </w:r>
      <w:r w:rsidR="002B032F" w:rsidRPr="731016A7">
        <w:rPr>
          <w:rStyle w:val="normaltextrun"/>
        </w:rPr>
        <w:t xml:space="preserve">CAR T-cell therapy, investigational </w:t>
      </w:r>
      <w:proofErr w:type="gramStart"/>
      <w:r w:rsidR="002B032F" w:rsidRPr="731016A7">
        <w:rPr>
          <w:rStyle w:val="normaltextrun"/>
        </w:rPr>
        <w:t>drugs</w:t>
      </w:r>
      <w:proofErr w:type="gramEnd"/>
      <w:r w:rsidR="002B032F" w:rsidRPr="731016A7">
        <w:rPr>
          <w:rStyle w:val="normaltextrun"/>
        </w:rPr>
        <w:t xml:space="preserve"> or vaccines in the view of the treating clinician. </w:t>
      </w:r>
      <w:r w:rsidR="00A56A69">
        <w:rPr>
          <w:rStyle w:val="normaltextrun"/>
        </w:rPr>
        <w:t>For example</w:t>
      </w:r>
      <w:r w:rsidR="002B032F" w:rsidRPr="731016A7">
        <w:rPr>
          <w:rStyle w:val="normaltextrun"/>
        </w:rPr>
        <w:t>:</w:t>
      </w:r>
    </w:p>
    <w:p w14:paraId="334D202A" w14:textId="77777777" w:rsidR="002B032F" w:rsidRPr="00170639" w:rsidRDefault="002B032F" w:rsidP="008949CD">
      <w:pPr>
        <w:pStyle w:val="BasicBulletList"/>
        <w:numPr>
          <w:ilvl w:val="4"/>
          <w:numId w:val="1"/>
        </w:numPr>
        <w:rPr>
          <w:rStyle w:val="normaltextrun"/>
        </w:rPr>
      </w:pPr>
      <w:r w:rsidRPr="731016A7">
        <w:rPr>
          <w:rStyle w:val="normaltextrun"/>
        </w:rPr>
        <w:t>Stevens-Johnson syndrome (SJS) or toxic epidermal necrolysis (TEN), or SJS-TEN overlap to any therapeutic agent</w:t>
      </w:r>
    </w:p>
    <w:p w14:paraId="6A6ABD4B" w14:textId="5DBEEE44" w:rsidR="002B032F" w:rsidRDefault="002B032F" w:rsidP="008949CD">
      <w:pPr>
        <w:pStyle w:val="BasicBulletList"/>
        <w:numPr>
          <w:ilvl w:val="4"/>
          <w:numId w:val="1"/>
        </w:numPr>
        <w:rPr>
          <w:rStyle w:val="normaltextrun"/>
        </w:rPr>
      </w:pPr>
      <w:r w:rsidRPr="731016A7">
        <w:rPr>
          <w:rStyle w:val="normaltextrun"/>
        </w:rPr>
        <w:t>Cell therapy associated reaction</w:t>
      </w:r>
    </w:p>
    <w:p w14:paraId="1F595700" w14:textId="31C2345A" w:rsidR="008A205F" w:rsidRDefault="008A205F" w:rsidP="008949CD">
      <w:pPr>
        <w:pStyle w:val="BasicBulletList"/>
        <w:numPr>
          <w:ilvl w:val="4"/>
          <w:numId w:val="1"/>
        </w:numPr>
        <w:rPr>
          <w:rStyle w:val="normaltextrun"/>
        </w:rPr>
      </w:pPr>
      <w:r>
        <w:t>Acute hepatitis associated with gene therapy in any age group</w:t>
      </w:r>
    </w:p>
    <w:p w14:paraId="4BAEFF8C" w14:textId="776D4880" w:rsidR="00170639" w:rsidRDefault="009A5389" w:rsidP="008949CD">
      <w:pPr>
        <w:pStyle w:val="BasicBulletList"/>
        <w:numPr>
          <w:ilvl w:val="2"/>
          <w:numId w:val="1"/>
        </w:numPr>
        <w:rPr>
          <w:rStyle w:val="normaltextrun"/>
        </w:rPr>
      </w:pPr>
      <w:r w:rsidRPr="731016A7">
        <w:rPr>
          <w:rStyle w:val="normaltextrun"/>
        </w:rPr>
        <w:t>Confirmed or suspected presence of an emerging critical illness syndrome</w:t>
      </w:r>
      <w:r w:rsidR="003732DC">
        <w:rPr>
          <w:rStyle w:val="normaltextrun"/>
        </w:rPr>
        <w:t>, such as</w:t>
      </w:r>
      <w:r w:rsidR="003577DE">
        <w:rPr>
          <w:rStyle w:val="normaltextrun"/>
        </w:rPr>
        <w:t>:</w:t>
      </w:r>
    </w:p>
    <w:p w14:paraId="4B542D5C" w14:textId="4AE447A8" w:rsidR="00170639" w:rsidRDefault="509508ED" w:rsidP="008949CD">
      <w:pPr>
        <w:pStyle w:val="BasicBulletList"/>
        <w:numPr>
          <w:ilvl w:val="3"/>
          <w:numId w:val="1"/>
        </w:numPr>
        <w:rPr>
          <w:rStyle w:val="normaltextrun"/>
        </w:rPr>
      </w:pPr>
      <w:r w:rsidRPr="731016A7">
        <w:rPr>
          <w:rStyle w:val="normaltextrun"/>
        </w:rPr>
        <w:t>unexplained or idiosyncratic presentations of acute organ injury in the view of the treating clinician</w:t>
      </w:r>
    </w:p>
    <w:p w14:paraId="1E010E08" w14:textId="51B86E46" w:rsidR="00677A4D" w:rsidRDefault="509508ED" w:rsidP="008949CD">
      <w:pPr>
        <w:pStyle w:val="BasicBulletList"/>
        <w:numPr>
          <w:ilvl w:val="3"/>
          <w:numId w:val="1"/>
        </w:numPr>
        <w:rPr>
          <w:rStyle w:val="normaltextrun"/>
        </w:rPr>
      </w:pPr>
      <w:r w:rsidRPr="731016A7">
        <w:rPr>
          <w:rStyle w:val="normaltextrun"/>
        </w:rPr>
        <w:t>confirmed or suspected exposures of public health interest in the view of the study leadership in consultation with public health agencies</w:t>
      </w:r>
      <w:r w:rsidR="00AB14F3" w:rsidRPr="731016A7">
        <w:rPr>
          <w:rStyle w:val="normaltextrun"/>
        </w:rPr>
        <w:t>. An updated description of these syndromes will be maintained</w:t>
      </w:r>
      <w:r w:rsidR="00E70929" w:rsidRPr="731016A7">
        <w:rPr>
          <w:rStyle w:val="normaltextrun"/>
        </w:rPr>
        <w:t xml:space="preserve"> by the central study team on the </w:t>
      </w:r>
      <w:r w:rsidR="00C965E4" w:rsidRPr="731016A7">
        <w:rPr>
          <w:rStyle w:val="normaltextrun"/>
        </w:rPr>
        <w:t>public website</w:t>
      </w:r>
      <w:r w:rsidR="00AB14F3" w:rsidRPr="731016A7">
        <w:rPr>
          <w:rStyle w:val="normaltextrun"/>
        </w:rPr>
        <w:t xml:space="preserve"> at </w:t>
      </w:r>
      <w:hyperlink r:id="rId21" w:history="1">
        <w:r w:rsidR="00670FA6" w:rsidRPr="00912538">
          <w:rPr>
            <w:rStyle w:val="Hyperlink"/>
            <w:rFonts w:eastAsiaTheme="majorEastAsia"/>
            <w:sz w:val="22"/>
            <w:szCs w:val="22"/>
          </w:rPr>
          <w:t>https://genomicc.org/investigators/emerging</w:t>
        </w:r>
        <w:r w:rsidR="006C57A0" w:rsidRPr="00912538">
          <w:rPr>
            <w:rStyle w:val="Hyperlink"/>
            <w:rFonts w:eastAsiaTheme="majorEastAsia"/>
            <w:sz w:val="22"/>
            <w:szCs w:val="22"/>
          </w:rPr>
          <w:t>_syndromes</w:t>
        </w:r>
      </w:hyperlink>
    </w:p>
    <w:p w14:paraId="06BA0888" w14:textId="25D6F5B7" w:rsidR="003D2F02" w:rsidRPr="00572A93" w:rsidRDefault="003D2F02" w:rsidP="008949CD">
      <w:pPr>
        <w:pStyle w:val="ListParagraph"/>
        <w:numPr>
          <w:ilvl w:val="1"/>
          <w:numId w:val="1"/>
        </w:numPr>
      </w:pPr>
      <w:r>
        <w:t>Non-infectious critical illness syndromes in children</w:t>
      </w:r>
      <w:r w:rsidR="003069BC">
        <w:t xml:space="preserve"> or babies</w:t>
      </w:r>
      <w:r>
        <w:t>:</w:t>
      </w:r>
    </w:p>
    <w:p w14:paraId="4883C701" w14:textId="0097EEFE" w:rsidR="0048297B" w:rsidRDefault="0048297B" w:rsidP="7DA144BB">
      <w:pPr>
        <w:pStyle w:val="BasicBulletList"/>
        <w:rPr>
          <w:rStyle w:val="normaltextrun"/>
        </w:rPr>
      </w:pPr>
      <w:r w:rsidRPr="00572A93">
        <w:rPr>
          <w:rFonts w:eastAsia="Aptos" w:cs="Aptos"/>
        </w:rPr>
        <w:t>Preterm birth (babies born &lt;32 weeks postmenstrual age)</w:t>
      </w:r>
    </w:p>
    <w:p w14:paraId="2BDCE960" w14:textId="2B6B57E9" w:rsidR="0048297B" w:rsidRPr="00170639" w:rsidRDefault="0048297B" w:rsidP="00DE4C4C">
      <w:pPr>
        <w:pStyle w:val="BasicBulletList"/>
      </w:pPr>
      <w:r>
        <w:t xml:space="preserve">Acute seronegative or unexplained hepatitis in children: patients under the age of 16 with elevated liver transaminase (ALT &gt; 500 </w:t>
      </w:r>
      <w:proofErr w:type="spellStart"/>
      <w:r>
        <w:t>iU</w:t>
      </w:r>
      <w:proofErr w:type="spellEnd"/>
      <w:r>
        <w:t xml:space="preserve">/L or AST &gt; 500 </w:t>
      </w:r>
      <w:proofErr w:type="spellStart"/>
      <w:r>
        <w:t>iU</w:t>
      </w:r>
      <w:proofErr w:type="spellEnd"/>
      <w:r>
        <w:t>/L), not due to other diagnoses such as hepatitis viruses A-E, autoimmune hepatitis, or poisoning</w:t>
      </w:r>
    </w:p>
    <w:p w14:paraId="3FCAECEE" w14:textId="0E02DAA3" w:rsidR="00677A4D" w:rsidRPr="007F47D0" w:rsidRDefault="0085488B" w:rsidP="00EF5657">
      <w:pPr>
        <w:pStyle w:val="Heading4"/>
      </w:pPr>
      <w:r>
        <w:t>Organ support</w:t>
      </w:r>
      <w:r w:rsidR="00677A4D" w:rsidRPr="7706D474">
        <w:t> </w:t>
      </w:r>
    </w:p>
    <w:p w14:paraId="66F0398E" w14:textId="77777777" w:rsidR="00677A4D" w:rsidRPr="004103E1" w:rsidRDefault="00677A4D" w:rsidP="00A61CA6">
      <w:pPr>
        <w:pStyle w:val="BodyText"/>
      </w:pPr>
      <w:r w:rsidRPr="004103E1">
        <w:rPr>
          <w:rStyle w:val="normaltextrun"/>
        </w:rPr>
        <w:t>Examples of eligible organ support include, but are not limited to: </w:t>
      </w:r>
      <w:r w:rsidRPr="004103E1">
        <w:t> </w:t>
      </w:r>
    </w:p>
    <w:p w14:paraId="3DA1A82C" w14:textId="4FA9E586" w:rsidR="00677A4D" w:rsidRPr="00A61CA6" w:rsidRDefault="00677A4D" w:rsidP="00A61CA6">
      <w:pPr>
        <w:pStyle w:val="BasicBulletList"/>
      </w:pPr>
      <w:r w:rsidRPr="731016A7">
        <w:rPr>
          <w:rStyle w:val="normaltextrun"/>
        </w:rPr>
        <w:t>Respiratory: High flow nasal oxygen (HFNO), Continuous positive airway pressure (CPAP), Non-invasive ventilation (NIV), Invasive mechanical ventilation (including following intubation for airway protection)</w:t>
      </w:r>
    </w:p>
    <w:p w14:paraId="67EC1159" w14:textId="2F5C9D6E" w:rsidR="00677A4D" w:rsidRPr="00A61CA6" w:rsidRDefault="00677A4D" w:rsidP="00A61CA6">
      <w:pPr>
        <w:pStyle w:val="BasicBulletList"/>
      </w:pPr>
      <w:r w:rsidRPr="731016A7">
        <w:rPr>
          <w:rStyle w:val="normaltextrun"/>
        </w:rPr>
        <w:t>Cardiovascular: any vasopressors or inotropes that are given by continuous infusion, extracorporeal membrane oxygenation (ECMO)</w:t>
      </w:r>
    </w:p>
    <w:p w14:paraId="6C4031BB" w14:textId="58C7BA25" w:rsidR="00677A4D" w:rsidRPr="00A61CA6" w:rsidRDefault="00677A4D" w:rsidP="00A61CA6">
      <w:pPr>
        <w:pStyle w:val="BasicBulletList"/>
      </w:pPr>
      <w:r w:rsidRPr="731016A7">
        <w:rPr>
          <w:rStyle w:val="normaltextrun"/>
        </w:rPr>
        <w:lastRenderedPageBreak/>
        <w:t xml:space="preserve">Renal: continuous or intermittent </w:t>
      </w:r>
      <w:proofErr w:type="spellStart"/>
      <w:r w:rsidRPr="731016A7">
        <w:rPr>
          <w:rStyle w:val="normaltextrun"/>
        </w:rPr>
        <w:t>haemofiltration</w:t>
      </w:r>
      <w:proofErr w:type="spellEnd"/>
      <w:r w:rsidRPr="731016A7">
        <w:rPr>
          <w:rStyle w:val="normaltextrun"/>
        </w:rPr>
        <w:t>/dialysis/diafiltration where it is used to treat acute disease in a patient who is not normally in receipt of renal support</w:t>
      </w:r>
    </w:p>
    <w:p w14:paraId="410389C2" w14:textId="5079E363" w:rsidR="00FF2DC5" w:rsidRPr="007F47D0" w:rsidRDefault="00577725" w:rsidP="007F47D0">
      <w:pPr>
        <w:pStyle w:val="Heading3"/>
      </w:pPr>
      <w:bookmarkStart w:id="49" w:name="emerging-infections"/>
      <w:bookmarkStart w:id="50" w:name="_Toc156378677"/>
      <w:bookmarkStart w:id="51" w:name="_Toc181256553"/>
      <w:r w:rsidRPr="7706D474">
        <w:t>Emerging Infections</w:t>
      </w:r>
      <w:bookmarkEnd w:id="49"/>
      <w:bookmarkEnd w:id="50"/>
      <w:r w:rsidR="00445702">
        <w:t xml:space="preserve"> and exposures</w:t>
      </w:r>
      <w:bookmarkEnd w:id="51"/>
    </w:p>
    <w:p w14:paraId="19635725" w14:textId="0F28A51F" w:rsidR="00D74E22" w:rsidRPr="003279FA" w:rsidRDefault="00577725" w:rsidP="00A61CA6">
      <w:pPr>
        <w:pStyle w:val="BodyText"/>
      </w:pPr>
      <w:r w:rsidRPr="003279FA">
        <w:t>Emerging infections are by their nature unpredictable and present a significant challenge to the international research community. In order to ensure research preparedness, in accordance with the principles laid out by the International Severe Acute and Emerging Infection Consortium (ISARIC</w:t>
      </w:r>
      <w:proofErr w:type="gramStart"/>
      <w:r w:rsidRPr="003279FA">
        <w:t>)(</w:t>
      </w:r>
      <w:proofErr w:type="gramEnd"/>
      <w:r w:rsidRPr="003279FA">
        <w:t xml:space="preserve">Dunning et al. 2014), patients will be recruited to this study if they have confirmed or suspected infection with a novel pathogen, a new strain of an existing pathogen, or a re-emerging known pathogen, that causes life-threatening illness. This will include the Middle East Respiratory Syndrome (MERS) and </w:t>
      </w:r>
      <w:proofErr w:type="gramStart"/>
      <w:r w:rsidRPr="003279FA">
        <w:t>Severe Acute Respiratory Syndrome</w:t>
      </w:r>
      <w:proofErr w:type="gramEnd"/>
      <w:r w:rsidRPr="003279FA">
        <w:t xml:space="preserve"> (SARS), highly pathogenic strains of influenza, Ebola virus disease and other epidemics of viral haemorrhagic fever</w:t>
      </w:r>
      <w:r w:rsidR="00693C51">
        <w:t xml:space="preserve">, </w:t>
      </w:r>
      <w:r w:rsidR="00146788">
        <w:t xml:space="preserve">and </w:t>
      </w:r>
      <w:r w:rsidR="00693C51">
        <w:t xml:space="preserve">exposure to chemical, radiological or other agents. </w:t>
      </w:r>
      <w:r w:rsidR="009D0935">
        <w:t xml:space="preserve">All samples must be handled </w:t>
      </w:r>
      <w:r w:rsidR="00CA1E55">
        <w:t xml:space="preserve">according to </w:t>
      </w:r>
      <w:r w:rsidR="003F7EC4">
        <w:t>the relevant</w:t>
      </w:r>
      <w:r w:rsidR="004D69A9">
        <w:t xml:space="preserve"> </w:t>
      </w:r>
      <w:r w:rsidR="00CA1E55">
        <w:t xml:space="preserve">guidance from the Health and Safety Executive. </w:t>
      </w:r>
    </w:p>
    <w:p w14:paraId="12D3F041" w14:textId="64CBDDCC" w:rsidR="004D07F6" w:rsidRPr="007F47D0" w:rsidRDefault="00577725" w:rsidP="007F47D0">
      <w:pPr>
        <w:pStyle w:val="Heading3"/>
      </w:pPr>
      <w:bookmarkStart w:id="52" w:name="exclusion-criteria"/>
      <w:bookmarkStart w:id="53" w:name="_Toc156378678"/>
      <w:bookmarkStart w:id="54" w:name="_Toc181256554"/>
      <w:r w:rsidRPr="7706D474">
        <w:t>Exclusion criteria</w:t>
      </w:r>
      <w:bookmarkEnd w:id="52"/>
      <w:bookmarkEnd w:id="53"/>
      <w:bookmarkEnd w:id="54"/>
    </w:p>
    <w:p w14:paraId="66FBF2AB" w14:textId="72449D77" w:rsidR="00821D86" w:rsidRDefault="00D62D66" w:rsidP="00143C73">
      <w:pPr>
        <w:pStyle w:val="BodyText"/>
      </w:pPr>
      <w:r>
        <w:t xml:space="preserve">The following participants are not eligible </w:t>
      </w:r>
      <w:r w:rsidR="002C6436">
        <w:t xml:space="preserve">for </w:t>
      </w:r>
      <w:r w:rsidR="00821D86">
        <w:t xml:space="preserve">participation </w:t>
      </w:r>
      <w:r w:rsidR="007F2D19">
        <w:t xml:space="preserve">in </w:t>
      </w:r>
      <w:r w:rsidR="00907A0F">
        <w:t>any part of the</w:t>
      </w:r>
      <w:r w:rsidR="00821D86">
        <w:t xml:space="preserve"> GenOMICC study: </w:t>
      </w:r>
    </w:p>
    <w:p w14:paraId="62D38A28" w14:textId="4ACE4A0F" w:rsidR="008A0BC1" w:rsidRPr="004103E1" w:rsidRDefault="005B2D76" w:rsidP="675DB7FF">
      <w:pPr>
        <w:pStyle w:val="BasicBulletList"/>
      </w:pPr>
      <w:r>
        <w:t>Bone marrow transplant recipients</w:t>
      </w:r>
    </w:p>
    <w:p w14:paraId="6FD8C1BF" w14:textId="44D70F33" w:rsidR="008A0BC1" w:rsidRDefault="008A0BC1" w:rsidP="430AFFDD">
      <w:pPr>
        <w:pStyle w:val="Heading3"/>
      </w:pPr>
      <w:bookmarkStart w:id="55" w:name="_Toc156378679"/>
      <w:bookmarkStart w:id="56" w:name="_Toc181256555"/>
      <w:r>
        <w:t>Additional groups</w:t>
      </w:r>
      <w:bookmarkEnd w:id="55"/>
      <w:bookmarkEnd w:id="56"/>
    </w:p>
    <w:p w14:paraId="698DAA14" w14:textId="77777777" w:rsidR="008A0BC1" w:rsidRDefault="008A0BC1" w:rsidP="00EF5657">
      <w:pPr>
        <w:pStyle w:val="BodyText"/>
      </w:pPr>
      <w:r>
        <w:t>The following additional groups of people will be eligible for recruitment:</w:t>
      </w:r>
    </w:p>
    <w:p w14:paraId="7AC2BE78" w14:textId="0065C082" w:rsidR="00146450" w:rsidRPr="00170639" w:rsidRDefault="00CF0FFA" w:rsidP="00170639">
      <w:pPr>
        <w:pStyle w:val="BasicBulletList"/>
      </w:pPr>
      <w:r>
        <w:t xml:space="preserve">Patients recruited </w:t>
      </w:r>
      <w:r w:rsidR="00C7602A">
        <w:t>in</w:t>
      </w:r>
      <w:r>
        <w:t xml:space="preserve">to participating </w:t>
      </w:r>
      <w:proofErr w:type="gramStart"/>
      <w:r w:rsidR="007B4DDA">
        <w:t>ethically-approved</w:t>
      </w:r>
      <w:proofErr w:type="gramEnd"/>
      <w:r w:rsidR="007B4DDA">
        <w:t xml:space="preserve"> </w:t>
      </w:r>
      <w:r>
        <w:t>clinical studies</w:t>
      </w:r>
      <w:r w:rsidR="00C7602A">
        <w:t xml:space="preserve"> </w:t>
      </w:r>
      <w:r w:rsidR="007B4DDA">
        <w:t>(listed here:</w:t>
      </w:r>
      <w:r w:rsidR="00CD4104">
        <w:t xml:space="preserve"> </w:t>
      </w:r>
      <w:hyperlink r:id="rId22">
        <w:r w:rsidR="00D0508C" w:rsidRPr="731016A7">
          <w:rPr>
            <w:rStyle w:val="Hyperlink"/>
            <w:rFonts w:eastAsiaTheme="majorEastAsia"/>
            <w:sz w:val="22"/>
            <w:szCs w:val="22"/>
          </w:rPr>
          <w:t>https://genomicc.org/investigators/participating_trials</w:t>
        </w:r>
      </w:hyperlink>
      <w:r w:rsidR="007B4DDA">
        <w:t>)</w:t>
      </w:r>
      <w:r w:rsidR="00B50626">
        <w:t xml:space="preserve"> will be recruited </w:t>
      </w:r>
      <w:r w:rsidR="00E40432">
        <w:t>to GenOMICC.</w:t>
      </w:r>
      <w:r w:rsidR="00657180">
        <w:t xml:space="preserve"> This route of inclusion in GenOMICC will be available to </w:t>
      </w:r>
      <w:r w:rsidR="000B6F4C">
        <w:t>research studies of conditions related to the above inclusion criteria</w:t>
      </w:r>
    </w:p>
    <w:p w14:paraId="5BBADB4E" w14:textId="6A19CF07" w:rsidR="003200EC" w:rsidRPr="00170639" w:rsidRDefault="003200EC" w:rsidP="00170639">
      <w:pPr>
        <w:pStyle w:val="BasicBulletList"/>
      </w:pPr>
      <w:r>
        <w:t>Parents of eligible patients</w:t>
      </w:r>
    </w:p>
    <w:p w14:paraId="1C11EF71" w14:textId="7B283E65" w:rsidR="00C16AC1" w:rsidRPr="00170639" w:rsidRDefault="001858DD" w:rsidP="00170639">
      <w:pPr>
        <w:pStyle w:val="BasicBulletList"/>
      </w:pPr>
      <w:r>
        <w:t>Volunteers</w:t>
      </w:r>
      <w:r w:rsidR="00E57414">
        <w:t xml:space="preserve"> from the general population</w:t>
      </w:r>
      <w:r>
        <w:t xml:space="preserve"> will be eligible to act as controls</w:t>
      </w:r>
    </w:p>
    <w:p w14:paraId="771B809D" w14:textId="42C2BD34" w:rsidR="00392A82" w:rsidRDefault="00255722" w:rsidP="00C47159">
      <w:pPr>
        <w:pStyle w:val="Heading3"/>
        <w:jc w:val="both"/>
      </w:pPr>
      <w:bookmarkStart w:id="57" w:name="_Toc156378680"/>
      <w:bookmarkStart w:id="58" w:name="_Toc181256556"/>
      <w:r>
        <w:t>Number of participants</w:t>
      </w:r>
      <w:bookmarkEnd w:id="57"/>
      <w:bookmarkEnd w:id="58"/>
    </w:p>
    <w:p w14:paraId="7521FA92" w14:textId="5A357EC8" w:rsidR="00392A82" w:rsidRPr="00392A82" w:rsidRDefault="00392A82" w:rsidP="00EF5657">
      <w:pPr>
        <w:pStyle w:val="BodyText"/>
      </w:pPr>
      <w:r>
        <w:t xml:space="preserve">The global GenOMICC </w:t>
      </w:r>
      <w:r w:rsidR="00917544">
        <w:t xml:space="preserve">study </w:t>
      </w:r>
      <w:r>
        <w:t xml:space="preserve">aims to ultimately recruit a total of </w:t>
      </w:r>
      <w:r w:rsidR="009D7279">
        <w:t>2</w:t>
      </w:r>
      <w:r>
        <w:t xml:space="preserve">00,000 </w:t>
      </w:r>
      <w:r w:rsidR="009B6BB4">
        <w:t>cases</w:t>
      </w:r>
      <w:r w:rsidR="00224B8C">
        <w:t>, of whom 100,</w:t>
      </w:r>
      <w:r w:rsidR="00B65325">
        <w:t>000 are expected to be recruited in the UK</w:t>
      </w:r>
      <w:r>
        <w:t xml:space="preserve">. </w:t>
      </w:r>
    </w:p>
    <w:p w14:paraId="3396B6D7" w14:textId="56E31077" w:rsidR="00FF2DC5" w:rsidRPr="003279FA" w:rsidRDefault="00577725" w:rsidP="00312722">
      <w:pPr>
        <w:pStyle w:val="Heading3"/>
      </w:pPr>
      <w:bookmarkStart w:id="59" w:name="Xe4596152276aeaff797d00ed05bfb87c5785550"/>
      <w:bookmarkStart w:id="60" w:name="_Toc156378681"/>
      <w:bookmarkStart w:id="61" w:name="_Toc181256557"/>
      <w:r>
        <w:t>Modification of sampling and data collection during the study</w:t>
      </w:r>
      <w:bookmarkEnd w:id="59"/>
      <w:bookmarkEnd w:id="60"/>
      <w:bookmarkEnd w:id="61"/>
    </w:p>
    <w:p w14:paraId="5F8391E8" w14:textId="29A38FFC" w:rsidR="006F727F" w:rsidRPr="00637780" w:rsidRDefault="00AA334C" w:rsidP="00A61CA6">
      <w:pPr>
        <w:pStyle w:val="BodyText"/>
      </w:pPr>
      <w:bookmarkStart w:id="62" w:name="X11e038bcf6411aecc333e50788d548765596568"/>
      <w:r>
        <w:t xml:space="preserve">As the study proceeds </w:t>
      </w:r>
      <w:r w:rsidR="00672F1D">
        <w:t xml:space="preserve">and our understanding of the genetic mechanisms of critical illness improves, the discovery yield from recruiting </w:t>
      </w:r>
      <w:proofErr w:type="gramStart"/>
      <w:r w:rsidR="00672F1D">
        <w:t>particular groups</w:t>
      </w:r>
      <w:proofErr w:type="gramEnd"/>
      <w:r w:rsidR="00672F1D">
        <w:t xml:space="preserve"> of patients is expected to decrease. We </w:t>
      </w:r>
      <w:r w:rsidR="006F727F" w:rsidRPr="003279FA">
        <w:t xml:space="preserve">will </w:t>
      </w:r>
      <w:r w:rsidR="007E4CAE">
        <w:lastRenderedPageBreak/>
        <w:t xml:space="preserve">update the inclusion criteria to remove these groups of patients </w:t>
      </w:r>
      <w:r w:rsidR="005C55EA">
        <w:t>as necessary</w:t>
      </w:r>
      <w:r w:rsidR="00C51BD3">
        <w:t xml:space="preserve">, </w:t>
      </w:r>
      <w:proofErr w:type="gramStart"/>
      <w:r w:rsidR="00C51BD3">
        <w:t>in order to</w:t>
      </w:r>
      <w:proofErr w:type="gramEnd"/>
      <w:r w:rsidR="00C51BD3">
        <w:t xml:space="preserve"> focus resources on remaining unanswered research questions.</w:t>
      </w:r>
    </w:p>
    <w:p w14:paraId="37F4C92D" w14:textId="1A5FDF87" w:rsidR="00FF2DC5" w:rsidRPr="007F47D0" w:rsidRDefault="00577725" w:rsidP="007F47D0">
      <w:pPr>
        <w:pStyle w:val="Heading3"/>
      </w:pPr>
      <w:bookmarkStart w:id="63" w:name="_Toc156378682"/>
      <w:bookmarkStart w:id="64" w:name="_Toc181256558"/>
      <w:r w:rsidRPr="7706D474">
        <w:t xml:space="preserve">Standard of care for </w:t>
      </w:r>
      <w:r w:rsidR="003B7D72">
        <w:t xml:space="preserve">prospectively recruited </w:t>
      </w:r>
      <w:r w:rsidRPr="7706D474">
        <w:t>patients</w:t>
      </w:r>
      <w:bookmarkEnd w:id="62"/>
      <w:bookmarkEnd w:id="63"/>
      <w:bookmarkEnd w:id="64"/>
    </w:p>
    <w:p w14:paraId="44D69F6F" w14:textId="025DE739" w:rsidR="00FF2DC5" w:rsidRDefault="00577725" w:rsidP="00A61CA6">
      <w:pPr>
        <w:pStyle w:val="BodyText"/>
      </w:pPr>
      <w:r w:rsidRPr="003279FA">
        <w:t>All patients will be treated according to clinical requirements regardless of their participation in the study. Provision of care will vary by site and by treating physician. It is not possible to define a single standard of care and therefore to define what samples will be taken as a part of medical management and when. Participants in this study will have samples taken in addition to what is required for medical management. The results of tests performed on research samples are unlikely to benefit the health of the participants.</w:t>
      </w:r>
    </w:p>
    <w:p w14:paraId="6A330670" w14:textId="77777777" w:rsidR="0064555B" w:rsidRDefault="0064555B" w:rsidP="00A61CA6">
      <w:pPr>
        <w:pStyle w:val="BodyText"/>
      </w:pPr>
    </w:p>
    <w:p w14:paraId="78AF483A" w14:textId="307F971D" w:rsidR="00312722" w:rsidRPr="007F47D0" w:rsidRDefault="00312722" w:rsidP="007F47D0">
      <w:pPr>
        <w:pStyle w:val="Heading2"/>
      </w:pPr>
      <w:bookmarkStart w:id="65" w:name="_Toc156378683"/>
      <w:bookmarkStart w:id="66" w:name="_Toc181256559"/>
      <w:r>
        <w:t xml:space="preserve">Sampling </w:t>
      </w:r>
      <w:r w:rsidR="00674551">
        <w:t xml:space="preserve">and Data Collection </w:t>
      </w:r>
      <w:r>
        <w:t>procedures</w:t>
      </w:r>
      <w:bookmarkEnd w:id="65"/>
      <w:bookmarkEnd w:id="66"/>
    </w:p>
    <w:p w14:paraId="7772D047" w14:textId="5676CC30" w:rsidR="00FF2DC5" w:rsidRPr="007F47D0" w:rsidRDefault="00577725" w:rsidP="007F47D0">
      <w:pPr>
        <w:pStyle w:val="Heading3"/>
      </w:pPr>
      <w:bookmarkStart w:id="67" w:name="sample-and-data-collection-schedules"/>
      <w:bookmarkStart w:id="68" w:name="_Toc156378684"/>
      <w:bookmarkStart w:id="69" w:name="_Toc181256560"/>
      <w:r w:rsidRPr="7706D474">
        <w:t>Sample and Data Collection Schedules</w:t>
      </w:r>
      <w:bookmarkEnd w:id="67"/>
      <w:bookmarkEnd w:id="68"/>
      <w:bookmarkEnd w:id="69"/>
    </w:p>
    <w:p w14:paraId="120378A6" w14:textId="4E238141" w:rsidR="00D02D60" w:rsidRPr="00236FDD" w:rsidRDefault="00577725" w:rsidP="00572A93">
      <w:pPr>
        <w:pStyle w:val="BodyText"/>
      </w:pPr>
      <w:r w:rsidRPr="003279FA">
        <w:t>A single DNA sample will be obtained at recruitment</w:t>
      </w:r>
      <w:r w:rsidR="00B70F51">
        <w:t>.</w:t>
      </w:r>
    </w:p>
    <w:p w14:paraId="0C70A0AA" w14:textId="1F63CF14" w:rsidR="00FF2DC5" w:rsidRPr="003279FA" w:rsidRDefault="00577725" w:rsidP="00EB4903">
      <w:pPr>
        <w:pStyle w:val="BodyText"/>
      </w:pPr>
      <w:r w:rsidRPr="003279FA">
        <w:t>All patients will have clinical information collected either directly</w:t>
      </w:r>
      <w:r w:rsidR="00B70F51">
        <w:t xml:space="preserve"> </w:t>
      </w:r>
      <w:r w:rsidRPr="003279FA">
        <w:t>or from available medical notes. Information will be recorded in the case report form. The following data will be collected from each patient:</w:t>
      </w:r>
    </w:p>
    <w:p w14:paraId="57D04D9B" w14:textId="013D0C44" w:rsidR="00FF2DC5" w:rsidRPr="003279FA" w:rsidRDefault="00577725" w:rsidP="00236FDD">
      <w:pPr>
        <w:pStyle w:val="BasicBulletList"/>
      </w:pPr>
      <w:r>
        <w:t>at recruitment, an initial case report form will be completed</w:t>
      </w:r>
    </w:p>
    <w:p w14:paraId="6D3E27D2" w14:textId="4DEABBB4" w:rsidR="00FF2DC5" w:rsidRPr="003279FA" w:rsidRDefault="00577725" w:rsidP="00236FDD">
      <w:pPr>
        <w:pStyle w:val="BasicBulletList"/>
      </w:pPr>
      <w:r>
        <w:t xml:space="preserve">a supplemental case report form will be completed at least 3 </w:t>
      </w:r>
      <w:r w:rsidR="007273A1">
        <w:t xml:space="preserve">days </w:t>
      </w:r>
      <w:r>
        <w:t>after the patient became eligible (this may be concurrent with recruitment in some cases)</w:t>
      </w:r>
    </w:p>
    <w:p w14:paraId="048A8E71" w14:textId="071297B7" w:rsidR="00FF2DC5" w:rsidRDefault="00577725" w:rsidP="00236FDD">
      <w:pPr>
        <w:pStyle w:val="BasicBulletList"/>
      </w:pPr>
      <w:r>
        <w:t>at least 60 days after the patient became eligible, a follow-up case report form will be completed</w:t>
      </w:r>
      <w:r w:rsidR="00883C94">
        <w:t xml:space="preserve"> detailing the patient’s survival status</w:t>
      </w:r>
      <w:r>
        <w:t>.</w:t>
      </w:r>
    </w:p>
    <w:p w14:paraId="52872EEF" w14:textId="4DB157A1" w:rsidR="00166C44" w:rsidRPr="003279FA" w:rsidRDefault="00166C44" w:rsidP="00EB4903">
      <w:pPr>
        <w:pStyle w:val="BodyText"/>
      </w:pPr>
      <w:r>
        <w:t>Control volunteers will self-co</w:t>
      </w:r>
      <w:r w:rsidR="00783F0C">
        <w:t>mplete a short online case report form</w:t>
      </w:r>
      <w:r w:rsidR="00127806">
        <w:t>.</w:t>
      </w:r>
      <w:r w:rsidR="00B33E08">
        <w:t xml:space="preserve"> </w:t>
      </w:r>
    </w:p>
    <w:p w14:paraId="27207545" w14:textId="730FCD46" w:rsidR="00FF2DC5" w:rsidRPr="003279FA" w:rsidRDefault="00577725" w:rsidP="00B33E08">
      <w:pPr>
        <w:pStyle w:val="Heading3"/>
        <w:jc w:val="both"/>
        <w:rPr>
          <w:color w:val="000000" w:themeColor="text1"/>
        </w:rPr>
      </w:pPr>
      <w:bookmarkStart w:id="70" w:name="sample-volumes"/>
      <w:bookmarkStart w:id="71" w:name="_Toc156378685"/>
      <w:bookmarkStart w:id="72" w:name="_Toc181256561"/>
      <w:r w:rsidRPr="328DC7AD">
        <w:rPr>
          <w:color w:val="000000" w:themeColor="text1"/>
        </w:rPr>
        <w:t>Sample volumes</w:t>
      </w:r>
      <w:bookmarkEnd w:id="72"/>
      <w:r w:rsidR="03B4349D" w:rsidRPr="328DC7AD">
        <w:rPr>
          <w:color w:val="000000" w:themeColor="text1"/>
        </w:rPr>
        <w:t xml:space="preserve"> </w:t>
      </w:r>
      <w:bookmarkEnd w:id="70"/>
      <w:bookmarkEnd w:id="71"/>
    </w:p>
    <w:p w14:paraId="6BD075C1" w14:textId="027347EE" w:rsidR="00D74718" w:rsidRDefault="00763FFE" w:rsidP="00236FDD">
      <w:pPr>
        <w:pStyle w:val="BodyText"/>
      </w:pPr>
      <w:r>
        <w:t>A maximum of</w:t>
      </w:r>
      <w:r w:rsidR="00577725">
        <w:t xml:space="preserve"> </w:t>
      </w:r>
      <w:r w:rsidR="00722849">
        <w:t>1</w:t>
      </w:r>
      <w:r w:rsidR="00577725">
        <w:t>ml/kg (</w:t>
      </w:r>
      <w:r w:rsidR="00E55F0D">
        <w:t>&lt;</w:t>
      </w:r>
      <w:r w:rsidR="00C72728">
        <w:t>1</w:t>
      </w:r>
      <w:r w:rsidR="001B17AB">
        <w:t>.5</w:t>
      </w:r>
      <w:r w:rsidR="00C72728">
        <w:t xml:space="preserve">% </w:t>
      </w:r>
      <w:r w:rsidR="00577725">
        <w:t xml:space="preserve">estimated blood volume) </w:t>
      </w:r>
      <w:r w:rsidR="005854BB">
        <w:t xml:space="preserve">will be obtained </w:t>
      </w:r>
      <w:r w:rsidR="00577725">
        <w:t xml:space="preserve">during </w:t>
      </w:r>
      <w:r w:rsidR="00936ACC">
        <w:t xml:space="preserve">a single sample </w:t>
      </w:r>
      <w:r w:rsidR="00750DBC">
        <w:t xml:space="preserve">during </w:t>
      </w:r>
      <w:r w:rsidR="00577725">
        <w:t>acute illness</w:t>
      </w:r>
      <w:r w:rsidR="0015392A">
        <w:t xml:space="preserve">. </w:t>
      </w:r>
    </w:p>
    <w:p w14:paraId="531A7953" w14:textId="25CEABC9" w:rsidR="00D74718" w:rsidRDefault="00D74718" w:rsidP="00D74718">
      <w:pPr>
        <w:pStyle w:val="Heading4"/>
      </w:pPr>
      <w:r>
        <w:t>GenOMICC DNA analysis</w:t>
      </w:r>
    </w:p>
    <w:p w14:paraId="3A46387A" w14:textId="2E923D4B" w:rsidR="00B70F51" w:rsidRDefault="00B70F51">
      <w:r>
        <w:t>One of the following sample types should be obtained:</w:t>
      </w:r>
    </w:p>
    <w:p w14:paraId="15893CA8" w14:textId="574D355C" w:rsidR="009F2404" w:rsidRPr="009F2404" w:rsidRDefault="009F2404" w:rsidP="008949CD">
      <w:pPr>
        <w:pStyle w:val="ListParagraph"/>
        <w:numPr>
          <w:ilvl w:val="0"/>
          <w:numId w:val="5"/>
        </w:numPr>
      </w:pPr>
      <w:r>
        <w:t>Whole blood in EDT A (full blood count tube)</w:t>
      </w:r>
      <w:r w:rsidR="002A17AA">
        <w:t xml:space="preserve"> – </w:t>
      </w:r>
      <w:r w:rsidR="002230CE">
        <w:t>preferred</w:t>
      </w:r>
      <w:r w:rsidR="002A17AA">
        <w:t xml:space="preserve"> option</w:t>
      </w:r>
      <w:r w:rsidR="001E0658">
        <w:t xml:space="preserve"> in all cases</w:t>
      </w:r>
      <w:r>
        <w:t>:</w:t>
      </w:r>
    </w:p>
    <w:p w14:paraId="4D466A6E" w14:textId="04A1014F" w:rsidR="006F727F" w:rsidRPr="003279FA" w:rsidRDefault="00CF2B6E" w:rsidP="008949CD">
      <w:pPr>
        <w:pStyle w:val="BasicBulletList"/>
        <w:numPr>
          <w:ilvl w:val="1"/>
          <w:numId w:val="5"/>
        </w:numPr>
      </w:pPr>
      <w:r>
        <w:t>&gt;10kg: 4mls (0.4ml/kg)</w:t>
      </w:r>
    </w:p>
    <w:p w14:paraId="216DD3AE" w14:textId="2FBBEB86" w:rsidR="006F727F" w:rsidRPr="003279FA" w:rsidRDefault="006F727F" w:rsidP="008949CD">
      <w:pPr>
        <w:pStyle w:val="BasicBulletList"/>
        <w:numPr>
          <w:ilvl w:val="1"/>
          <w:numId w:val="5"/>
        </w:numPr>
      </w:pPr>
      <w:r>
        <w:lastRenderedPageBreak/>
        <w:t>4</w:t>
      </w:r>
      <w:r w:rsidR="000D145F">
        <w:t>–1</w:t>
      </w:r>
      <w:r>
        <w:t>0kg: 2mls (0.5ml/kg)</w:t>
      </w:r>
    </w:p>
    <w:p w14:paraId="5671DD5E" w14:textId="00D72E51" w:rsidR="003A1120" w:rsidRDefault="00650545" w:rsidP="008949CD">
      <w:pPr>
        <w:pStyle w:val="BasicBulletList"/>
        <w:numPr>
          <w:ilvl w:val="1"/>
          <w:numId w:val="5"/>
        </w:numPr>
      </w:pPr>
      <w:r>
        <w:t>0.5-</w:t>
      </w:r>
      <w:r w:rsidR="00A865D3">
        <w:t>4</w:t>
      </w:r>
      <w:r w:rsidR="003A1120">
        <w:t xml:space="preserve">kg: </w:t>
      </w:r>
      <w:r w:rsidR="00F0225B">
        <w:t>0.5mls (</w:t>
      </w:r>
      <w:r w:rsidR="00C34C07">
        <w:t>1ml/kg)</w:t>
      </w:r>
    </w:p>
    <w:p w14:paraId="45A043FE" w14:textId="5119A7AD" w:rsidR="00A701B3" w:rsidRDefault="0088607B" w:rsidP="008949CD">
      <w:pPr>
        <w:pStyle w:val="BasicBulletList"/>
        <w:numPr>
          <w:ilvl w:val="1"/>
          <w:numId w:val="5"/>
        </w:numPr>
      </w:pPr>
      <w:r>
        <w:t>Umbilical c</w:t>
      </w:r>
      <w:r w:rsidR="00A701B3">
        <w:t>ord blood</w:t>
      </w:r>
      <w:r w:rsidR="00692F2D">
        <w:t>: 1ml</w:t>
      </w:r>
    </w:p>
    <w:p w14:paraId="06631615" w14:textId="77777777" w:rsidR="001D2E94" w:rsidRDefault="009F2404" w:rsidP="008949CD">
      <w:pPr>
        <w:pStyle w:val="BasicBulletList"/>
        <w:numPr>
          <w:ilvl w:val="0"/>
          <w:numId w:val="5"/>
        </w:numPr>
      </w:pPr>
      <w:r>
        <w:t>Dried blood spots</w:t>
      </w:r>
      <w:r w:rsidR="0067562A">
        <w:t xml:space="preserve">: </w:t>
      </w:r>
    </w:p>
    <w:p w14:paraId="03A29B5D" w14:textId="3B545210" w:rsidR="00816F64" w:rsidRDefault="00731D13" w:rsidP="008949CD">
      <w:pPr>
        <w:pStyle w:val="BasicBulletList"/>
        <w:numPr>
          <w:ilvl w:val="0"/>
          <w:numId w:val="6"/>
        </w:numPr>
      </w:pPr>
      <w:r>
        <w:t xml:space="preserve">&gt;0.5kg: </w:t>
      </w:r>
      <w:r w:rsidR="0067562A">
        <w:t>4 spots</w:t>
      </w:r>
      <w:r w:rsidR="00164C78">
        <w:t xml:space="preserve"> (0.</w:t>
      </w:r>
      <w:r w:rsidR="001B6420">
        <w:t>5</w:t>
      </w:r>
      <w:r w:rsidR="00164C78">
        <w:t>ml</w:t>
      </w:r>
      <w:r w:rsidR="00816F64">
        <w:t>, 1ml/kg</w:t>
      </w:r>
      <w:r w:rsidR="00164C78">
        <w:t>)</w:t>
      </w:r>
    </w:p>
    <w:p w14:paraId="5FCBC7FC" w14:textId="7C01EDAC" w:rsidR="00B70F51" w:rsidRDefault="00B70F51" w:rsidP="008949CD">
      <w:pPr>
        <w:pStyle w:val="BasicBulletList"/>
        <w:numPr>
          <w:ilvl w:val="0"/>
          <w:numId w:val="5"/>
        </w:numPr>
      </w:pPr>
      <w:r>
        <w:t>Saliva</w:t>
      </w:r>
      <w:r w:rsidR="00C346D2">
        <w:t>:</w:t>
      </w:r>
    </w:p>
    <w:p w14:paraId="7D72B211" w14:textId="63A85987" w:rsidR="566F357B" w:rsidRPr="00572A93" w:rsidRDefault="006B7AA6" w:rsidP="008949CD">
      <w:pPr>
        <w:pStyle w:val="BasicBulletList"/>
        <w:numPr>
          <w:ilvl w:val="1"/>
          <w:numId w:val="5"/>
        </w:numPr>
      </w:pPr>
      <w:r w:rsidRPr="00127257">
        <w:t xml:space="preserve">Using saliva collection kit </w:t>
      </w:r>
      <w:r w:rsidR="00513CA6" w:rsidRPr="00127257">
        <w:t>or assisted saliva collection kit as necessary</w:t>
      </w:r>
    </w:p>
    <w:p w14:paraId="608A56D9" w14:textId="6FBDDCEE" w:rsidR="006225F4" w:rsidRPr="00981DCA" w:rsidRDefault="006225F4" w:rsidP="00572A93">
      <w:pPr>
        <w:pStyle w:val="Heading4"/>
      </w:pPr>
      <w:r w:rsidRPr="00127257">
        <w:t>GenOMICC A</w:t>
      </w:r>
      <w:r>
        <w:t>cute Samples</w:t>
      </w:r>
    </w:p>
    <w:p w14:paraId="2A000C1C" w14:textId="24A396FD" w:rsidR="00276C94" w:rsidRDefault="00276C94" w:rsidP="006225F4">
      <w:pPr>
        <w:pStyle w:val="BodyText"/>
      </w:pPr>
      <w:r>
        <w:t>Within 48h of admission to intensive care</w:t>
      </w:r>
      <w:r w:rsidR="00931889">
        <w:t>, in patients weighing &gt; 20kg</w:t>
      </w:r>
      <w:r w:rsidR="001D56D8">
        <w:t>:</w:t>
      </w:r>
    </w:p>
    <w:p w14:paraId="53B124E4" w14:textId="26EA3332" w:rsidR="006225F4" w:rsidRPr="00DF6EBE" w:rsidRDefault="006225F4" w:rsidP="008949CD">
      <w:pPr>
        <w:pStyle w:val="BasicNumberedList"/>
        <w:numPr>
          <w:ilvl w:val="0"/>
          <w:numId w:val="3"/>
        </w:numPr>
      </w:pPr>
      <w:r w:rsidRPr="00DF6EBE">
        <w:t xml:space="preserve">4ml blood </w:t>
      </w:r>
      <w:r w:rsidR="00B91D1E">
        <w:t xml:space="preserve">in EDTA </w:t>
      </w:r>
      <w:r>
        <w:t xml:space="preserve">for </w:t>
      </w:r>
      <w:r w:rsidRPr="00DF6EBE">
        <w:t>DNA</w:t>
      </w:r>
      <w:r w:rsidR="00025A07">
        <w:t xml:space="preserve"> </w:t>
      </w:r>
      <w:r w:rsidR="0089717D">
        <w:t>(</w:t>
      </w:r>
      <w:r w:rsidRPr="00DF6EBE">
        <w:t xml:space="preserve">taken for </w:t>
      </w:r>
      <w:r w:rsidR="008D31EF">
        <w:t>all</w:t>
      </w:r>
      <w:r w:rsidRPr="00DF6EBE">
        <w:t xml:space="preserve"> GenOMICC participants</w:t>
      </w:r>
      <w:r w:rsidR="00EA49F2">
        <w:t>, as above</w:t>
      </w:r>
      <w:r>
        <w:t>)</w:t>
      </w:r>
    </w:p>
    <w:p w14:paraId="4DE117EB" w14:textId="6D38CE95" w:rsidR="006225F4" w:rsidRPr="00DF6EBE" w:rsidRDefault="006225F4" w:rsidP="008949CD">
      <w:pPr>
        <w:pStyle w:val="BasicNumberedList"/>
        <w:numPr>
          <w:ilvl w:val="0"/>
          <w:numId w:val="3"/>
        </w:numPr>
      </w:pPr>
      <w:r w:rsidRPr="00DF6EBE">
        <w:t>3</w:t>
      </w:r>
      <w:r>
        <w:t xml:space="preserve">ml </w:t>
      </w:r>
      <w:r w:rsidRPr="00DF6EBE">
        <w:t xml:space="preserve">blood </w:t>
      </w:r>
      <w:r>
        <w:t xml:space="preserve">for RNA </w:t>
      </w:r>
      <w:r w:rsidR="005A3A5D">
        <w:t>(</w:t>
      </w:r>
      <w:r w:rsidR="000622D4">
        <w:t xml:space="preserve">tube </w:t>
      </w:r>
      <w:r w:rsidR="005A3A5D">
        <w:t xml:space="preserve">must be </w:t>
      </w:r>
      <w:r w:rsidR="000622D4">
        <w:t>shaken</w:t>
      </w:r>
      <w:r w:rsidR="005A3A5D">
        <w:t xml:space="preserve"> immediately)</w:t>
      </w:r>
    </w:p>
    <w:p w14:paraId="4F5F6B16" w14:textId="54EFFFE7" w:rsidR="006225F4" w:rsidRPr="00AC3407" w:rsidRDefault="006225F4" w:rsidP="008949CD">
      <w:pPr>
        <w:pStyle w:val="BasicNumberedList"/>
        <w:numPr>
          <w:ilvl w:val="0"/>
          <w:numId w:val="3"/>
        </w:numPr>
      </w:pPr>
      <w:r>
        <w:t>10ml blood for cell free RNA (</w:t>
      </w:r>
      <w:proofErr w:type="spellStart"/>
      <w:r>
        <w:t>cfRNA</w:t>
      </w:r>
      <w:proofErr w:type="spellEnd"/>
      <w:r>
        <w:t>)</w:t>
      </w:r>
      <w:r w:rsidR="00076F49">
        <w:t xml:space="preserve"> (</w:t>
      </w:r>
      <w:r w:rsidR="000622D4">
        <w:t xml:space="preserve">tube </w:t>
      </w:r>
      <w:r w:rsidR="00076F49">
        <w:t xml:space="preserve">must be </w:t>
      </w:r>
      <w:r w:rsidR="000622D4">
        <w:t xml:space="preserve">inverted </w:t>
      </w:r>
      <w:r w:rsidR="00076F49">
        <w:t>immediately)</w:t>
      </w:r>
    </w:p>
    <w:p w14:paraId="0422B04D" w14:textId="097AD1CE" w:rsidR="328DC7AD" w:rsidRPr="00572A93" w:rsidRDefault="006225F4" w:rsidP="00572A93">
      <w:pPr>
        <w:pStyle w:val="BodyText"/>
      </w:pPr>
      <w:r w:rsidRPr="00DF6EBE">
        <w:t xml:space="preserve">The GenOMICC central management team will supply </w:t>
      </w:r>
      <w:r>
        <w:t xml:space="preserve">24-hour return </w:t>
      </w:r>
      <w:r w:rsidRPr="00DF6EBE">
        <w:t>postage paid, biologically approved specimen kits, fully assembled with all</w:t>
      </w:r>
      <w:r>
        <w:t xml:space="preserve"> sampling</w:t>
      </w:r>
      <w:r w:rsidRPr="00DF6EBE">
        <w:t xml:space="preserve"> tubes required for </w:t>
      </w:r>
      <w:r>
        <w:t xml:space="preserve">GenOMICC </w:t>
      </w:r>
      <w:r w:rsidRPr="00DF6EBE">
        <w:t xml:space="preserve">Acute sample collection. </w:t>
      </w:r>
    </w:p>
    <w:p w14:paraId="3E435335" w14:textId="3CC1469F" w:rsidR="00607D3C" w:rsidRDefault="00101D94" w:rsidP="00B33E08">
      <w:pPr>
        <w:pStyle w:val="Heading3"/>
        <w:jc w:val="both"/>
        <w:rPr>
          <w:color w:val="000000" w:themeColor="text1"/>
        </w:rPr>
      </w:pPr>
      <w:bookmarkStart w:id="73" w:name="_Toc156378686"/>
      <w:bookmarkStart w:id="74" w:name="_Toc181256562"/>
      <w:r>
        <w:rPr>
          <w:color w:val="000000" w:themeColor="text1"/>
        </w:rPr>
        <w:t>Sampling procedure for patients or volunteers in the community</w:t>
      </w:r>
      <w:bookmarkEnd w:id="73"/>
      <w:bookmarkEnd w:id="74"/>
    </w:p>
    <w:p w14:paraId="37DBE53E" w14:textId="399D6A96" w:rsidR="00607D3C" w:rsidRPr="00170639" w:rsidRDefault="00607D3C" w:rsidP="00170639">
      <w:pPr>
        <w:pStyle w:val="BodyText"/>
      </w:pPr>
      <w:r w:rsidRPr="00170639">
        <w:t>Patients or control volunteers who agree to participate will be invited to</w:t>
      </w:r>
      <w:r w:rsidR="00A03233">
        <w:t xml:space="preserve"> provide a sample by one of three methods</w:t>
      </w:r>
      <w:r w:rsidRPr="00170639">
        <w:t>:</w:t>
      </w:r>
    </w:p>
    <w:p w14:paraId="09F65A89" w14:textId="3FABA7C4" w:rsidR="00607D3C" w:rsidRPr="00170639" w:rsidRDefault="00607D3C" w:rsidP="00170639">
      <w:pPr>
        <w:pStyle w:val="BasicBulletList"/>
      </w:pPr>
      <w:r>
        <w:t>Attend a hospital, research facility or a primary care facility for a blood sample</w:t>
      </w:r>
      <w:r w:rsidR="00A03233">
        <w:t xml:space="preserve"> </w:t>
      </w:r>
    </w:p>
    <w:p w14:paraId="4AFBF988" w14:textId="0F006AC4" w:rsidR="00607D3C" w:rsidRPr="00170639" w:rsidRDefault="00607D3C" w:rsidP="00170639">
      <w:pPr>
        <w:pStyle w:val="BasicBulletList"/>
      </w:pPr>
      <w:r>
        <w:t xml:space="preserve">Receive a home visit from an </w:t>
      </w:r>
      <w:r w:rsidR="00B33E08">
        <w:t>appropriately trained</w:t>
      </w:r>
      <w:r>
        <w:t xml:space="preserve"> research nurse who will obtain a blood sample</w:t>
      </w:r>
      <w:r w:rsidR="00A03233">
        <w:t xml:space="preserve"> </w:t>
      </w:r>
    </w:p>
    <w:p w14:paraId="13C84CEF" w14:textId="61AB128D" w:rsidR="003A7A7F" w:rsidRPr="00170639" w:rsidRDefault="00607D3C" w:rsidP="00170639">
      <w:pPr>
        <w:pStyle w:val="BasicBulletList"/>
      </w:pPr>
      <w:r>
        <w:t>Send a specimen of saliva by post</w:t>
      </w:r>
    </w:p>
    <w:p w14:paraId="15E62C69" w14:textId="7BE6C0C3" w:rsidR="00FF2DC5" w:rsidRPr="007F47D0" w:rsidRDefault="00577725" w:rsidP="007F47D0">
      <w:pPr>
        <w:pStyle w:val="Heading3"/>
      </w:pPr>
      <w:bookmarkStart w:id="75" w:name="sample-handling"/>
      <w:bookmarkStart w:id="76" w:name="_Toc156378687"/>
      <w:bookmarkStart w:id="77" w:name="_Toc181256563"/>
      <w:r w:rsidRPr="7706D474">
        <w:t>Sample handling</w:t>
      </w:r>
      <w:bookmarkEnd w:id="75"/>
      <w:bookmarkEnd w:id="76"/>
      <w:bookmarkEnd w:id="77"/>
    </w:p>
    <w:p w14:paraId="22DF50A6" w14:textId="022BBCF4" w:rsidR="00FF2DC5" w:rsidRPr="00A61CA6" w:rsidRDefault="00577725" w:rsidP="00A61CA6">
      <w:pPr>
        <w:pStyle w:val="BodyText"/>
      </w:pPr>
      <w:r w:rsidRPr="00A61CA6">
        <w:t xml:space="preserve">Where necessary for specific tests, samples or materials derived from samples </w:t>
      </w:r>
      <w:r w:rsidR="007D768D">
        <w:t>may</w:t>
      </w:r>
      <w:r w:rsidR="007D768D" w:rsidRPr="00A61CA6">
        <w:t xml:space="preserve"> </w:t>
      </w:r>
      <w:r w:rsidRPr="00A61CA6">
        <w:t xml:space="preserve">be </w:t>
      </w:r>
      <w:r w:rsidR="0099086C">
        <w:t>sent abroad</w:t>
      </w:r>
      <w:r w:rsidR="0099086C" w:rsidRPr="00A61CA6">
        <w:t xml:space="preserve"> </w:t>
      </w:r>
      <w:r w:rsidRPr="00A61CA6">
        <w:t xml:space="preserve">with the permission of the patient/parent/guardian/consultee. Any samples sent to external laboratories will be </w:t>
      </w:r>
      <w:r w:rsidR="005764CF" w:rsidRPr="00A61CA6">
        <w:t>pseudonymised</w:t>
      </w:r>
      <w:r w:rsidRPr="00A61CA6">
        <w:t xml:space="preserve"> with unique coded identifiers to protect the identity of the patient at the site level at the point of enrolment. </w:t>
      </w:r>
    </w:p>
    <w:p w14:paraId="6E456ED3" w14:textId="1037094C" w:rsidR="002E3CE1" w:rsidRPr="00A61CA6" w:rsidRDefault="002E3CE1" w:rsidP="00A61CA6">
      <w:pPr>
        <w:pStyle w:val="BodyText"/>
      </w:pPr>
      <w:r w:rsidRPr="00572A93">
        <w:lastRenderedPageBreak/>
        <w:t>There is no sample processing required by site research staff or community health care professionals.</w:t>
      </w:r>
      <w:r w:rsidR="002F49BE" w:rsidRPr="00572A93">
        <w:t xml:space="preserve"> All samples in the GenOMICC and GenOMICC Acute sub-study </w:t>
      </w:r>
      <w:r w:rsidRPr="00572A93">
        <w:t>are stable at ambient temperature for several days</w:t>
      </w:r>
      <w:r w:rsidR="008B3621" w:rsidRPr="00572A93">
        <w:t xml:space="preserve">. They </w:t>
      </w:r>
      <w:r w:rsidRPr="00572A93">
        <w:t>should be posted back in the approved specimen kits supplied by GenOMICC</w:t>
      </w:r>
      <w:r w:rsidR="006C0C20" w:rsidRPr="00572A93">
        <w:t xml:space="preserve"> </w:t>
      </w:r>
      <w:r w:rsidRPr="00572A93">
        <w:t>as soon as possible after sampling.</w:t>
      </w:r>
      <w:r>
        <w:t xml:space="preserve"> </w:t>
      </w:r>
    </w:p>
    <w:p w14:paraId="6C25B8FC" w14:textId="307A74BF" w:rsidR="00FF2DC5" w:rsidRDefault="413D54D7" w:rsidP="007F47D0">
      <w:pPr>
        <w:pStyle w:val="Heading3"/>
      </w:pPr>
      <w:bookmarkStart w:id="78" w:name="potentially-hazardous-samples"/>
      <w:bookmarkStart w:id="79" w:name="_Toc156378688"/>
      <w:bookmarkStart w:id="80" w:name="_Toc181256564"/>
      <w:r>
        <w:t>Potentially hazardous samples</w:t>
      </w:r>
      <w:bookmarkEnd w:id="78"/>
      <w:bookmarkEnd w:id="79"/>
      <w:bookmarkEnd w:id="80"/>
    </w:p>
    <w:p w14:paraId="588DE4C1" w14:textId="256F3943" w:rsidR="003F4E72" w:rsidRDefault="003F4E72" w:rsidP="003F4E72">
      <w:pPr>
        <w:rPr>
          <w:b/>
          <w:bCs/>
        </w:rPr>
      </w:pPr>
      <w:r w:rsidRPr="00572A93">
        <w:rPr>
          <w:b/>
          <w:bCs/>
        </w:rPr>
        <w:t xml:space="preserve">If samples are obtained from patients with </w:t>
      </w:r>
      <w:r w:rsidR="0093447E" w:rsidRPr="00572A93">
        <w:rPr>
          <w:b/>
          <w:bCs/>
        </w:rPr>
        <w:t>potentially hazardous</w:t>
      </w:r>
      <w:r w:rsidRPr="00572A93">
        <w:rPr>
          <w:b/>
          <w:bCs/>
        </w:rPr>
        <w:t xml:space="preserve"> pathogens, the GenOMICC team (genomicc@roslin.ed.ac.uk) should be contacted for advice on how and where to send them. </w:t>
      </w:r>
    </w:p>
    <w:p w14:paraId="297CE3FA" w14:textId="05FA62A5" w:rsidR="0067690B" w:rsidRDefault="0067690B" w:rsidP="0067690B">
      <w:r>
        <w:t xml:space="preserve">Examples of potentially hazardous (HG 3/4, see below) pathogens include, but are not limited to: </w:t>
      </w:r>
      <w:r w:rsidRPr="00765595">
        <w:t xml:space="preserve">Dengue virus, </w:t>
      </w:r>
      <w:proofErr w:type="spellStart"/>
      <w:r w:rsidRPr="00765595">
        <w:t>Mpox</w:t>
      </w:r>
      <w:proofErr w:type="spellEnd"/>
      <w:r w:rsidRPr="00765595">
        <w:t xml:space="preserve"> virus, </w:t>
      </w:r>
      <w:r w:rsidR="00DE4C4C">
        <w:t>h</w:t>
      </w:r>
      <w:r w:rsidRPr="00765595">
        <w:t>ighly pathogenic avian influenza virus (</w:t>
      </w:r>
      <w:proofErr w:type="spellStart"/>
      <w:proofErr w:type="gramStart"/>
      <w:r w:rsidRPr="00765595">
        <w:t>eg</w:t>
      </w:r>
      <w:proofErr w:type="spellEnd"/>
      <w:proofErr w:type="gramEnd"/>
      <w:r w:rsidRPr="00765595">
        <w:t xml:space="preserve"> H5Nx, H7N7, H7N9)</w:t>
      </w:r>
      <w:r>
        <w:t xml:space="preserve">, </w:t>
      </w:r>
      <w:r w:rsidRPr="00765595">
        <w:t xml:space="preserve">Marburg virus, Ebolavirus, Lassa fever virus, Crimean-Congo Haemorrhagic Fever </w:t>
      </w:r>
      <w:proofErr w:type="spellStart"/>
      <w:r w:rsidRPr="00765595">
        <w:t>orthonairovirus</w:t>
      </w:r>
      <w:proofErr w:type="spellEnd"/>
      <w:r w:rsidRPr="00765595">
        <w:t xml:space="preserve">, Hendra </w:t>
      </w:r>
      <w:proofErr w:type="spellStart"/>
      <w:r w:rsidRPr="00765595">
        <w:t>henipavirus</w:t>
      </w:r>
      <w:proofErr w:type="spellEnd"/>
      <w:r w:rsidRPr="00765595">
        <w:t xml:space="preserve">, </w:t>
      </w:r>
      <w:proofErr w:type="spellStart"/>
      <w:r w:rsidRPr="00765595">
        <w:t>Nipah</w:t>
      </w:r>
      <w:proofErr w:type="spellEnd"/>
      <w:r w:rsidRPr="00765595">
        <w:t xml:space="preserve"> </w:t>
      </w:r>
      <w:proofErr w:type="spellStart"/>
      <w:r w:rsidRPr="00765595">
        <w:t>henipavirus</w:t>
      </w:r>
      <w:proofErr w:type="spellEnd"/>
      <w:r w:rsidRPr="00765595">
        <w:t xml:space="preserve">, Variola virus (major and minor), Bacillus anthracis, Coxiella </w:t>
      </w:r>
      <w:proofErr w:type="spellStart"/>
      <w:r w:rsidRPr="00765595">
        <w:t>burnetti</w:t>
      </w:r>
      <w:proofErr w:type="spellEnd"/>
      <w:r w:rsidRPr="00765595">
        <w:t xml:space="preserve">, Rickettsia </w:t>
      </w:r>
      <w:proofErr w:type="spellStart"/>
      <w:r w:rsidRPr="00765595">
        <w:t>spp</w:t>
      </w:r>
      <w:proofErr w:type="spellEnd"/>
      <w:r w:rsidRPr="00765595">
        <w:t>, Yersinia pestis, West Nile fever virus, Yellow fever virus, Rift Valley fever virus.</w:t>
      </w:r>
      <w:r>
        <w:t xml:space="preserve"> </w:t>
      </w:r>
      <w:r>
        <w:rPr>
          <w:rFonts w:eastAsia="Aptos" w:cs="Aptos"/>
          <w:szCs w:val="22"/>
        </w:rPr>
        <w:t xml:space="preserve">A list of </w:t>
      </w:r>
      <w:r>
        <w:t xml:space="preserve">hazard group 3 and 4 pathogens can be found on the </w:t>
      </w:r>
      <w:r w:rsidRPr="006C55C2">
        <w:t xml:space="preserve">UK Health and Safety Executive Advisory Committee on Dangerous Pathogens (ACDP) approved list of biological agents </w:t>
      </w:r>
      <w:r>
        <w:t>(</w:t>
      </w:r>
      <w:hyperlink r:id="rId23" w:history="1">
        <w:r w:rsidRPr="009B1CE7">
          <w:rPr>
            <w:rStyle w:val="Hyperlink"/>
            <w:sz w:val="22"/>
            <w:szCs w:val="20"/>
          </w:rPr>
          <w:t>https://www.hse.gov.uk</w:t>
        </w:r>
      </w:hyperlink>
      <w:r>
        <w:t>).</w:t>
      </w:r>
    </w:p>
    <w:p w14:paraId="012B57DC" w14:textId="2A6C65C1" w:rsidR="007466C5" w:rsidRPr="00572A93" w:rsidRDefault="007466C5" w:rsidP="003F4E72">
      <w:pPr>
        <w:rPr>
          <w:b/>
          <w:bCs/>
        </w:rPr>
      </w:pPr>
      <w:r>
        <w:t xml:space="preserve">In dealing with pathogens where little is known about transmissibility and/or virulence, great care must be taken to ensure the safety of hospital staff and patients. </w:t>
      </w:r>
      <w:r w:rsidRPr="5DD3FE7D">
        <w:rPr>
          <w:rFonts w:eastAsia="Aptos" w:cs="Aptos"/>
          <w:szCs w:val="22"/>
        </w:rPr>
        <w:t xml:space="preserve">All recruiting sites must comply with their local COSHH (Control of Substances Hazardous to Health) and Health &amp; Safety guidelines when collecting samples. The receiving study laboratory, a containment level 2 (CL2) laboratory can only receive samples classified by the Health &amp; Safety Executive as Hazard Group 1 (HG1) and Hazard Group 2 (HG2) samples. SARS-CoV-2, while a Hazard Group 3 pathogen (HG3) can be received, as it has a special exemption in the UK for the safe handling in CL2 laboratories and are permitted </w:t>
      </w:r>
      <w:r>
        <w:t xml:space="preserve">with </w:t>
      </w:r>
      <w:r w:rsidRPr="5DD3FE7D">
        <w:rPr>
          <w:rFonts w:eastAsia="Aptos" w:cs="Aptos"/>
          <w:szCs w:val="22"/>
        </w:rPr>
        <w:t xml:space="preserve">the appropriate risk assessments and safety measures in place. </w:t>
      </w:r>
    </w:p>
    <w:p w14:paraId="350A25C7" w14:textId="78BC7967" w:rsidR="00FF2DC5" w:rsidRPr="007F47D0" w:rsidRDefault="00577725" w:rsidP="00DE4C4C">
      <w:pPr>
        <w:pStyle w:val="Heading3"/>
      </w:pPr>
      <w:bookmarkStart w:id="81" w:name="follow-up"/>
      <w:bookmarkStart w:id="82" w:name="_Toc156378689"/>
      <w:bookmarkStart w:id="83" w:name="_Toc181256565"/>
      <w:r w:rsidRPr="7706D474">
        <w:t>Follow up</w:t>
      </w:r>
      <w:bookmarkEnd w:id="81"/>
      <w:bookmarkEnd w:id="82"/>
      <w:bookmarkEnd w:id="83"/>
    </w:p>
    <w:p w14:paraId="61581A22" w14:textId="6ECE3CAC" w:rsidR="00FF2DC5" w:rsidRDefault="00577725" w:rsidP="00A61CA6">
      <w:pPr>
        <w:pStyle w:val="BodyText"/>
      </w:pPr>
      <w:proofErr w:type="gramStart"/>
      <w:r w:rsidRPr="003279FA">
        <w:t>Prospectively-recruited</w:t>
      </w:r>
      <w:proofErr w:type="gramEnd"/>
      <w:r w:rsidRPr="003279FA">
        <w:t xml:space="preserve"> patients will be followed up by a member of the research team to determine their outcome. For hospital in-patients, this will be done by review of clinical records, or communication with clinical staff, or the patient. For patients discharged from hospital, follow-up will be undertaken by telephone.</w:t>
      </w:r>
    </w:p>
    <w:p w14:paraId="0BEF7833" w14:textId="7BCFB0B2" w:rsidR="00FF2DC5" w:rsidRPr="007F47D0" w:rsidRDefault="00577725" w:rsidP="007F47D0">
      <w:pPr>
        <w:pStyle w:val="Heading3"/>
      </w:pPr>
      <w:bookmarkStart w:id="84" w:name="outcome-measures"/>
      <w:bookmarkStart w:id="85" w:name="_Toc156378690"/>
      <w:bookmarkStart w:id="86" w:name="_Toc181256566"/>
      <w:r w:rsidRPr="7706D474">
        <w:t>Outcome measures</w:t>
      </w:r>
      <w:bookmarkEnd w:id="84"/>
      <w:bookmarkEnd w:id="85"/>
      <w:bookmarkEnd w:id="86"/>
    </w:p>
    <w:p w14:paraId="7CE2FAF0" w14:textId="0005FC51" w:rsidR="00FF2DC5" w:rsidRDefault="00577725" w:rsidP="00A61CA6">
      <w:pPr>
        <w:pStyle w:val="BodyText"/>
      </w:pPr>
      <w:r w:rsidRPr="003279FA">
        <w:t xml:space="preserve">The outcome of mortality will be measured at 60 days from </w:t>
      </w:r>
      <w:r w:rsidRPr="007F47D0">
        <w:t>the</w:t>
      </w:r>
      <w:r w:rsidRPr="003279FA">
        <w:t xml:space="preserve"> first time the patient met the medical criteria for inclusion in the study.</w:t>
      </w:r>
    </w:p>
    <w:p w14:paraId="2AC1D528" w14:textId="51DB36DA" w:rsidR="00F73D80" w:rsidRPr="003279FA" w:rsidRDefault="00CA2282" w:rsidP="00CA2282">
      <w:pPr>
        <w:pStyle w:val="Heading2"/>
      </w:pPr>
      <w:bookmarkStart w:id="87" w:name="_Toc156378691"/>
      <w:bookmarkStart w:id="88" w:name="_Toc181256567"/>
      <w:r>
        <w:lastRenderedPageBreak/>
        <w:t xml:space="preserve">Enrolment </w:t>
      </w:r>
      <w:r w:rsidR="00EC3BDB">
        <w:t>p</w:t>
      </w:r>
      <w:r>
        <w:t>rocedures</w:t>
      </w:r>
      <w:bookmarkEnd w:id="87"/>
      <w:bookmarkEnd w:id="88"/>
    </w:p>
    <w:p w14:paraId="691B1EB2" w14:textId="390BEB3C" w:rsidR="00F73D80" w:rsidRPr="007F47D0" w:rsidRDefault="00F73D80" w:rsidP="007F47D0">
      <w:pPr>
        <w:pStyle w:val="Heading3"/>
      </w:pPr>
      <w:bookmarkStart w:id="89" w:name="Xba8bea7d09be33793318034e58c06c6cfd6f573"/>
      <w:bookmarkStart w:id="90" w:name="_Toc156378692"/>
      <w:bookmarkStart w:id="91" w:name="_Toc181256568"/>
      <w:r w:rsidRPr="7706D474">
        <w:t xml:space="preserve">Enrolment procedures for </w:t>
      </w:r>
      <w:r w:rsidR="00235F5A">
        <w:t>prospectively recruited</w:t>
      </w:r>
      <w:r w:rsidRPr="7706D474">
        <w:t xml:space="preserve"> patients</w:t>
      </w:r>
      <w:bookmarkEnd w:id="89"/>
      <w:bookmarkEnd w:id="90"/>
      <w:bookmarkEnd w:id="91"/>
    </w:p>
    <w:p w14:paraId="6F5F005E" w14:textId="3F993FDA" w:rsidR="00AB7D34" w:rsidRDefault="009739DD" w:rsidP="00A61CA6">
      <w:pPr>
        <w:pStyle w:val="BodyText"/>
      </w:pPr>
      <w:r>
        <w:t>Critically ill</w:t>
      </w:r>
      <w:r w:rsidR="00F73D80">
        <w:t xml:space="preserve"> patients will </w:t>
      </w:r>
      <w:r w:rsidR="008C20F4">
        <w:t xml:space="preserve">primarily </w:t>
      </w:r>
      <w:r w:rsidR="00F73D80">
        <w:t xml:space="preserve">be identified and recruited in hospital during acute illness. Potential participants will be identified through hospital staff upon presentation at recruiting sites. The disease processes under study have a high mortality, so it is desirable to recruit patients as early as possible in the disease process. Participants who can consent for themselves or where the patient cannot consent for themselves a personal consultee will be approached by staff trained in consent procedures that protect the rights of the patient and adhere to the ethical principles within the Declaration of Helsinki and to the Adults with Incapacity Act (2000) Scotland, Mental Capacity Act (2005) England and Wales 2005 or the Mental Capacity Act (Northern Ireland) 2016, depending on the location of recruitment. </w:t>
      </w:r>
    </w:p>
    <w:p w14:paraId="50757139" w14:textId="7C12E7C0" w:rsidR="00F73D80" w:rsidRPr="00CD5490" w:rsidRDefault="00F73D80" w:rsidP="007F47D0">
      <w:pPr>
        <w:pStyle w:val="BodyText"/>
      </w:pPr>
      <w:r>
        <w:t xml:space="preserve">Staff will explain the details of the study to the participant, </w:t>
      </w:r>
      <w:r w:rsidRPr="00572A93">
        <w:t>their parent/guardian, nearest relative</w:t>
      </w:r>
      <w:r w:rsidR="00AB7D34" w:rsidRPr="00572A93">
        <w:t>, legal representative,</w:t>
      </w:r>
      <w:r>
        <w:t xml:space="preserve"> </w:t>
      </w:r>
      <w:r w:rsidRPr="00572A93">
        <w:t xml:space="preserve">or an appropriate </w:t>
      </w:r>
      <w:r w:rsidR="3A782912" w:rsidRPr="00572A93">
        <w:t>nominated</w:t>
      </w:r>
      <w:r w:rsidR="00AB7D34" w:rsidRPr="00572A93">
        <w:t xml:space="preserve"> </w:t>
      </w:r>
      <w:r w:rsidRPr="00572A93">
        <w:t>consultee</w:t>
      </w:r>
      <w:r>
        <w:t xml:space="preserve"> and allow them time to discuss and ask questions. The staff will review the informed consent form with the person giving consent or the personal consultee and endeavour to ensure understanding of the contents, including study procedures, risks, benefits, and the right to withdraw. Participants who can agree to participate (or where the participant is unable to consent, with the advice of the personal consultee</w:t>
      </w:r>
      <w:r w:rsidR="00AB7D34">
        <w:t xml:space="preserve"> or other legal or </w:t>
      </w:r>
      <w:r w:rsidR="20FCB5C1" w:rsidRPr="00572A93">
        <w:t>nominated</w:t>
      </w:r>
      <w:r w:rsidR="00AB7D34">
        <w:t xml:space="preserve"> representative</w:t>
      </w:r>
      <w:r>
        <w:t>) will be asked to sign and date an informed consent form.</w:t>
      </w:r>
    </w:p>
    <w:p w14:paraId="44857A63" w14:textId="77777777" w:rsidR="00F73D80" w:rsidRPr="00CD5490" w:rsidRDefault="00F73D80" w:rsidP="007F47D0">
      <w:pPr>
        <w:pStyle w:val="BodyText"/>
      </w:pPr>
      <w:r w:rsidRPr="00CD5490">
        <w:t xml:space="preserve">In view of the importance of early sampling, </w:t>
      </w:r>
      <w:r w:rsidRPr="007F47D0">
        <w:t>participants</w:t>
      </w:r>
      <w:r w:rsidRPr="00CD5490">
        <w:t xml:space="preserve"> or their </w:t>
      </w:r>
      <w:r>
        <w:t>parent/guardian/nearest relative/</w:t>
      </w:r>
      <w:r w:rsidRPr="00CD5490">
        <w:t>consultee will be permitted to consent / advise and begin to participate in the study immediately if they wish to do so. Those who prefer more time to consider participation will be approached again after an agreed time, normally one day, to discuss further.</w:t>
      </w:r>
    </w:p>
    <w:p w14:paraId="4FB50A45" w14:textId="77777777" w:rsidR="00F73D80" w:rsidRPr="003279FA" w:rsidRDefault="00F73D80" w:rsidP="007F47D0">
      <w:pPr>
        <w:pStyle w:val="BodyText"/>
      </w:pPr>
      <w:r w:rsidRPr="00CD5490">
        <w:t xml:space="preserve">Patients who meet the </w:t>
      </w:r>
      <w:r>
        <w:t>entry</w:t>
      </w:r>
      <w:r>
        <w:softHyphen/>
      </w:r>
      <w:r>
        <w:softHyphen/>
      </w:r>
      <w:r w:rsidRPr="00CD5490">
        <w:t xml:space="preserve"> criteria and who have given informed </w:t>
      </w:r>
      <w:r w:rsidRPr="007F47D0">
        <w:t>consent</w:t>
      </w:r>
      <w:r w:rsidRPr="00CD5490">
        <w:t xml:space="preserve"> to participate directly, or where agreement is declared by a </w:t>
      </w:r>
      <w:r>
        <w:t>parent/guardian/nearest relative/</w:t>
      </w:r>
      <w:r w:rsidRPr="00CD5490">
        <w:t>consultee, will be</w:t>
      </w:r>
      <w:r w:rsidRPr="003279FA">
        <w:t xml:space="preserve"> enrolled to the study.</w:t>
      </w:r>
    </w:p>
    <w:p w14:paraId="0B403827" w14:textId="5DEC1169" w:rsidR="4C51C0E5" w:rsidRPr="00572A93" w:rsidRDefault="00242775" w:rsidP="7DA144BB">
      <w:pPr>
        <w:pStyle w:val="BodyText"/>
      </w:pPr>
      <w:r w:rsidRPr="00572A93">
        <w:t>In England, Wale</w:t>
      </w:r>
      <w:r w:rsidR="00324987" w:rsidRPr="00572A93">
        <w:t>s</w:t>
      </w:r>
      <w:r w:rsidRPr="00572A93">
        <w:t xml:space="preserve"> and Northern Ireland, p</w:t>
      </w:r>
      <w:r w:rsidR="0071177F" w:rsidRPr="00572A93">
        <w:t>rofessional consent</w:t>
      </w:r>
      <w:r w:rsidR="00403398" w:rsidRPr="00572A93">
        <w:t xml:space="preserve"> from a nominated consultee</w:t>
      </w:r>
      <w:r w:rsidRPr="00572A93">
        <w:t xml:space="preserve"> is an option.</w:t>
      </w:r>
      <w:r w:rsidR="0071177F" w:rsidRPr="00572A93">
        <w:t xml:space="preserve"> </w:t>
      </w:r>
      <w:r w:rsidRPr="00572A93">
        <w:t>W</w:t>
      </w:r>
      <w:r w:rsidR="4C51C0E5" w:rsidRPr="00572A93">
        <w:t xml:space="preserve">hilst </w:t>
      </w:r>
      <w:r w:rsidR="25E3875A" w:rsidRPr="00572A93">
        <w:t>nominated</w:t>
      </w:r>
      <w:r w:rsidR="4C51C0E5" w:rsidRPr="00572A93">
        <w:t xml:space="preserve"> consultees </w:t>
      </w:r>
      <w:r w:rsidR="613BAAE5" w:rsidRPr="00572A93">
        <w:t>(</w:t>
      </w:r>
      <w:r w:rsidR="00A03233">
        <w:t>e.g</w:t>
      </w:r>
      <w:r w:rsidR="613BAAE5" w:rsidRPr="00572A93">
        <w:t>.</w:t>
      </w:r>
      <w:r w:rsidR="00A03233">
        <w:t xml:space="preserve">, </w:t>
      </w:r>
      <w:r w:rsidR="613BAAE5" w:rsidRPr="00572A93">
        <w:t>professionals not connected to Ge</w:t>
      </w:r>
      <w:r w:rsidR="0071177F" w:rsidRPr="00572A93">
        <w:t>n</w:t>
      </w:r>
      <w:r w:rsidR="613BAAE5" w:rsidRPr="00572A93">
        <w:t xml:space="preserve">OMICC) </w:t>
      </w:r>
      <w:r w:rsidR="4C51C0E5" w:rsidRPr="00572A93">
        <w:t>are permitted</w:t>
      </w:r>
      <w:r w:rsidR="7C33BA82" w:rsidRPr="00572A93">
        <w:t xml:space="preserve"> to provide an opinion</w:t>
      </w:r>
      <w:r w:rsidR="4C51C0E5" w:rsidRPr="00572A93">
        <w:t xml:space="preserve"> in some areas (not Scotland</w:t>
      </w:r>
      <w:r w:rsidR="69715F5F" w:rsidRPr="00572A93">
        <w:t>, where only</w:t>
      </w:r>
      <w:r w:rsidR="281A0231" w:rsidRPr="00572A93">
        <w:t xml:space="preserve"> </w:t>
      </w:r>
      <w:r w:rsidR="69715F5F" w:rsidRPr="00572A93">
        <w:t xml:space="preserve">a welfare </w:t>
      </w:r>
      <w:r w:rsidR="27E1FAE6" w:rsidRPr="00572A93">
        <w:t>guardian</w:t>
      </w:r>
      <w:r w:rsidR="69715F5F" w:rsidRPr="00572A93">
        <w:t xml:space="preserve"> or </w:t>
      </w:r>
      <w:r w:rsidR="7BD10177" w:rsidRPr="00572A93">
        <w:t xml:space="preserve">welfare </w:t>
      </w:r>
      <w:r w:rsidR="69715F5F" w:rsidRPr="00572A93">
        <w:t xml:space="preserve">attorney can give </w:t>
      </w:r>
      <w:r w:rsidR="65268437" w:rsidRPr="00572A93">
        <w:t>advice</w:t>
      </w:r>
      <w:r w:rsidR="69715F5F" w:rsidRPr="00572A93">
        <w:t xml:space="preserve"> in the absence of a next of kin</w:t>
      </w:r>
      <w:r w:rsidR="4C51C0E5" w:rsidRPr="00572A93">
        <w:t>)</w:t>
      </w:r>
      <w:r w:rsidR="1C148FD2" w:rsidRPr="00572A93">
        <w:t xml:space="preserve">, this should only be used if every effort to contact a next of </w:t>
      </w:r>
      <w:r w:rsidR="72509C10" w:rsidRPr="00572A93">
        <w:t>k</w:t>
      </w:r>
      <w:r w:rsidR="1C148FD2" w:rsidRPr="00572A93">
        <w:t xml:space="preserve">in or close person </w:t>
      </w:r>
      <w:r w:rsidR="3F091B04" w:rsidRPr="00572A93">
        <w:t xml:space="preserve">has been unsuccessful. </w:t>
      </w:r>
      <w:r w:rsidR="47D0559D" w:rsidRPr="00572A93">
        <w:t xml:space="preserve">Nominated </w:t>
      </w:r>
      <w:r w:rsidR="3F091B04" w:rsidRPr="00572A93">
        <w:t xml:space="preserve">consultee </w:t>
      </w:r>
      <w:r w:rsidR="490E481C" w:rsidRPr="00572A93">
        <w:t>opinions</w:t>
      </w:r>
      <w:r w:rsidR="3F091B04" w:rsidRPr="00572A93">
        <w:t xml:space="preserve"> should not be used </w:t>
      </w:r>
      <w:r w:rsidR="00BF6E9A" w:rsidRPr="00572A93">
        <w:t>if the patient</w:t>
      </w:r>
      <w:r w:rsidR="00697D4F" w:rsidRPr="00572A93">
        <w:t xml:space="preserve"> has close </w:t>
      </w:r>
      <w:r w:rsidR="3F091B04" w:rsidRPr="00572A93">
        <w:t xml:space="preserve">family or </w:t>
      </w:r>
      <w:r w:rsidR="60BFA342" w:rsidRPr="00572A93">
        <w:t>another close person</w:t>
      </w:r>
      <w:r w:rsidR="3F091B04" w:rsidRPr="00572A93">
        <w:t xml:space="preserve"> who is willing to a</w:t>
      </w:r>
      <w:r w:rsidR="6BE178FE" w:rsidRPr="00572A93">
        <w:t xml:space="preserve">ct as a </w:t>
      </w:r>
      <w:r w:rsidR="02C47C0B" w:rsidRPr="00572A93">
        <w:t xml:space="preserve">personal </w:t>
      </w:r>
      <w:r w:rsidR="6BE178FE" w:rsidRPr="00572A93">
        <w:t xml:space="preserve">consultee. </w:t>
      </w:r>
    </w:p>
    <w:p w14:paraId="1CBA2BFF" w14:textId="07334CEA" w:rsidR="282AE997" w:rsidRDefault="282AE997" w:rsidP="7DA144BB">
      <w:pPr>
        <w:pStyle w:val="BodyText"/>
      </w:pPr>
      <w:r w:rsidRPr="00572A93">
        <w:t xml:space="preserve">If </w:t>
      </w:r>
      <w:r w:rsidR="00BD08DA" w:rsidRPr="00572A93">
        <w:t xml:space="preserve">professional </w:t>
      </w:r>
      <w:r w:rsidRPr="00572A93">
        <w:t xml:space="preserve">consent is used as an initial means of consent, </w:t>
      </w:r>
      <w:r w:rsidR="50D0DCBE" w:rsidRPr="00572A93">
        <w:t>research staff</w:t>
      </w:r>
      <w:r w:rsidR="00697D4F" w:rsidRPr="00572A93">
        <w:t xml:space="preserve"> will</w:t>
      </w:r>
      <w:r w:rsidR="00802C4A">
        <w:t xml:space="preserve"> subsequently </w:t>
      </w:r>
      <w:r w:rsidR="50D0DCBE" w:rsidRPr="00572A93">
        <w:t xml:space="preserve">seek an </w:t>
      </w:r>
      <w:r w:rsidR="447344B5" w:rsidRPr="00572A93">
        <w:t>opinion</w:t>
      </w:r>
      <w:r w:rsidR="50D0DCBE" w:rsidRPr="00572A93">
        <w:t xml:space="preserve"> </w:t>
      </w:r>
      <w:r w:rsidRPr="00572A93">
        <w:t xml:space="preserve">from </w:t>
      </w:r>
      <w:r w:rsidR="6FCE354B" w:rsidRPr="00572A93">
        <w:t>the participant</w:t>
      </w:r>
      <w:r w:rsidR="008C0796">
        <w:t>’</w:t>
      </w:r>
      <w:r w:rsidR="6FCE354B" w:rsidRPr="00572A93">
        <w:t xml:space="preserve">s </w:t>
      </w:r>
      <w:r w:rsidRPr="00572A93">
        <w:t xml:space="preserve">next of kin or other close person </w:t>
      </w:r>
      <w:r w:rsidR="008C0796">
        <w:t>where possible</w:t>
      </w:r>
      <w:r w:rsidR="3411B6E6" w:rsidRPr="00572A93">
        <w:t xml:space="preserve">, </w:t>
      </w:r>
      <w:r w:rsidRPr="00572A93">
        <w:t xml:space="preserve">even if the participant is expected to regain capacity to consent for themselves. </w:t>
      </w:r>
    </w:p>
    <w:p w14:paraId="33536620" w14:textId="77777777" w:rsidR="00DE4C4C" w:rsidRPr="000622D4" w:rsidRDefault="00DE4C4C" w:rsidP="00DE4C4C">
      <w:pPr>
        <w:pStyle w:val="BodyText"/>
      </w:pPr>
      <w:r w:rsidRPr="000622D4">
        <w:lastRenderedPageBreak/>
        <w:t xml:space="preserve">Individuals who are normally prisoners but in hospital as patients may be recruited in their capacity as a patient prospectively only. </w:t>
      </w:r>
    </w:p>
    <w:p w14:paraId="6F57DEE4" w14:textId="47F64282" w:rsidR="00F73D80" w:rsidRDefault="00F73D80" w:rsidP="007F47D0">
      <w:pPr>
        <w:pStyle w:val="BodyText"/>
      </w:pPr>
      <w:r w:rsidRPr="003279FA">
        <w:t xml:space="preserve">Samples and data will be collected according to available resources and the weight of the patient will be measured for children under 12 </w:t>
      </w:r>
      <w:proofErr w:type="gramStart"/>
      <w:r w:rsidRPr="003279FA">
        <w:t>in order to</w:t>
      </w:r>
      <w:proofErr w:type="gramEnd"/>
      <w:r w:rsidRPr="003279FA">
        <w:t xml:space="preserve"> prevent excessive volume sampling. </w:t>
      </w:r>
      <w:r w:rsidR="0064414E">
        <w:t>Clinical s</w:t>
      </w:r>
      <w:r w:rsidRPr="003279FA">
        <w:t xml:space="preserve">amples will </w:t>
      </w:r>
      <w:proofErr w:type="gramStart"/>
      <w:r w:rsidRPr="003279FA">
        <w:t>at all times</w:t>
      </w:r>
      <w:proofErr w:type="gramEnd"/>
      <w:r w:rsidRPr="003279FA">
        <w:t xml:space="preserve"> have priority </w:t>
      </w:r>
      <w:r w:rsidRPr="007F47D0">
        <w:t>over</w:t>
      </w:r>
      <w:r w:rsidRPr="003279FA">
        <w:t xml:space="preserve"> samples taken for research tests. Aliquots or samples for research purposes should never compromise the quality or quantity of </w:t>
      </w:r>
      <w:r w:rsidR="0064414E">
        <w:t xml:space="preserve">clinical </w:t>
      </w:r>
      <w:r w:rsidRPr="003279FA">
        <w:t xml:space="preserve">samples. Wherever practical, research samples should be timed to coincide with clinical sampling. The research team will be responsible for sharing the sampling protocol with health care workers supporting patient management </w:t>
      </w:r>
      <w:proofErr w:type="gramStart"/>
      <w:r w:rsidRPr="003279FA">
        <w:t>in</w:t>
      </w:r>
      <w:r w:rsidR="00887C7D">
        <w:t xml:space="preserve"> </w:t>
      </w:r>
      <w:r w:rsidRPr="003279FA">
        <w:t>order to</w:t>
      </w:r>
      <w:proofErr w:type="gramEnd"/>
      <w:r w:rsidRPr="003279FA">
        <w:t xml:space="preserve"> minimise disruption to routine care and avoid unnecessary procedures.</w:t>
      </w:r>
    </w:p>
    <w:p w14:paraId="190ECB43" w14:textId="47485E2B" w:rsidR="00F73D80" w:rsidRPr="007F47D0" w:rsidRDefault="0020379C" w:rsidP="007F47D0">
      <w:pPr>
        <w:pStyle w:val="Heading3"/>
      </w:pPr>
      <w:bookmarkStart w:id="92" w:name="_Toc156378693"/>
      <w:bookmarkStart w:id="93" w:name="_Toc181256569"/>
      <w:r>
        <w:t>P</w:t>
      </w:r>
      <w:r w:rsidR="00F73D80" w:rsidRPr="7706D474">
        <w:t>rocedures for</w:t>
      </w:r>
      <w:r w:rsidR="0065150E" w:rsidRPr="7706D474">
        <w:t xml:space="preserve"> </w:t>
      </w:r>
      <w:r>
        <w:t>con</w:t>
      </w:r>
      <w:r w:rsidR="00F77BAA">
        <w:t>s</w:t>
      </w:r>
      <w:r>
        <w:t>enting patients with regained capacity</w:t>
      </w:r>
      <w:bookmarkEnd w:id="92"/>
      <w:bookmarkEnd w:id="93"/>
    </w:p>
    <w:p w14:paraId="6066EC6B" w14:textId="5658B44B" w:rsidR="4D22BE58" w:rsidRPr="00170639" w:rsidRDefault="00F73D80" w:rsidP="00A61CA6">
      <w:pPr>
        <w:pStyle w:val="BodyText"/>
      </w:pPr>
      <w:r w:rsidRPr="00572A93">
        <w:t>Consent will be sought from pa</w:t>
      </w:r>
      <w:r w:rsidR="19487D84" w:rsidRPr="00572A93">
        <w:t xml:space="preserve">rticipants who survive critical illness and regain capacity, </w:t>
      </w:r>
      <w:r w:rsidR="00EC3BDB" w:rsidRPr="00572A93">
        <w:t>and</w:t>
      </w:r>
      <w:r w:rsidRPr="00572A93">
        <w:t xml:space="preserve"> who were included in the study following consent or assent from another party (such as a nearest relative or consultee) because of temporary incapacity</w:t>
      </w:r>
      <w:r w:rsidR="16A08101" w:rsidRPr="00572A93">
        <w:t>.</w:t>
      </w:r>
      <w:r w:rsidRPr="00572A93">
        <w:t xml:space="preserve"> </w:t>
      </w:r>
      <w:r w:rsidR="03F0EFF7" w:rsidRPr="00572A93">
        <w:t xml:space="preserve">This is expected to occur in-person </w:t>
      </w:r>
      <w:r w:rsidR="00D01206" w:rsidRPr="00572A93">
        <w:t>during</w:t>
      </w:r>
      <w:r w:rsidR="03F0EFF7" w:rsidRPr="00572A93">
        <w:t xml:space="preserve"> the index hospital</w:t>
      </w:r>
      <w:r w:rsidR="0050011B" w:rsidRPr="00572A93">
        <w:t>isation</w:t>
      </w:r>
      <w:r w:rsidR="00D01206" w:rsidRPr="00572A93">
        <w:t>. I</w:t>
      </w:r>
      <w:r w:rsidR="03F0EFF7" w:rsidRPr="00572A93">
        <w:t xml:space="preserve">n some cases, if consent has not been obtained before discharge or transfer to another hospital, attempts to re-consent directly </w:t>
      </w:r>
      <w:r w:rsidR="00D80D4D" w:rsidRPr="00572A93">
        <w:t xml:space="preserve">will </w:t>
      </w:r>
      <w:r w:rsidR="03F0EFF7" w:rsidRPr="00572A93">
        <w:t>be made by other means.</w:t>
      </w:r>
    </w:p>
    <w:p w14:paraId="4D757CC5" w14:textId="11CC4F60" w:rsidR="4D22BE58" w:rsidRPr="00B774A7" w:rsidRDefault="6A9CF3BF" w:rsidP="00ED5AFC">
      <w:pPr>
        <w:pStyle w:val="Heading3"/>
      </w:pPr>
      <w:bookmarkStart w:id="94" w:name="_Toc156378694"/>
      <w:bookmarkStart w:id="95" w:name="_Toc181256570"/>
      <w:r w:rsidRPr="00B774A7">
        <w:t>Attempts to re-consent following discharge</w:t>
      </w:r>
      <w:bookmarkEnd w:id="94"/>
      <w:bookmarkEnd w:id="95"/>
    </w:p>
    <w:p w14:paraId="17451971" w14:textId="11C349E7" w:rsidR="4D22BE58" w:rsidRPr="00572A93" w:rsidRDefault="0071489A" w:rsidP="7DA144BB">
      <w:pPr>
        <w:pStyle w:val="BodyText"/>
      </w:pPr>
      <w:r w:rsidRPr="00572A93">
        <w:t xml:space="preserve">Attempts to </w:t>
      </w:r>
      <w:r w:rsidR="6A9CF3BF" w:rsidRPr="00572A93">
        <w:t xml:space="preserve">contact discharged participants </w:t>
      </w:r>
      <w:r w:rsidRPr="00572A93">
        <w:t xml:space="preserve">should be made </w:t>
      </w:r>
      <w:r w:rsidR="6A9CF3BF" w:rsidRPr="00572A93">
        <w:t>as soon as reasonably possible after discharge to initiate the consent process</w:t>
      </w:r>
      <w:r w:rsidRPr="00572A93">
        <w:t>, if patient capacity allows. Research and clinical teams</w:t>
      </w:r>
      <w:r w:rsidR="6A9CF3BF" w:rsidRPr="00572A93">
        <w:t xml:space="preserve"> should be enabled to contact discharged patients by any </w:t>
      </w:r>
      <w:r w:rsidR="00980DF3" w:rsidRPr="00572A93">
        <w:t>reasonable</w:t>
      </w:r>
      <w:r w:rsidR="6A9CF3BF" w:rsidRPr="00572A93">
        <w:t xml:space="preserve"> means, such as email (if available), telephone or a letter by post. Although the full consent process will be carried out either by telephone or post, the initial means of contacting the patient may take several attempts, especially considering working age people who may not have the same means of communicating during normal working hours or people who may not answer calls from unknown numbers. </w:t>
      </w:r>
    </w:p>
    <w:p w14:paraId="6001CAB2" w14:textId="7313F4CE" w:rsidR="4D22BE58" w:rsidRPr="007F47D0" w:rsidRDefault="6A9CF3BF" w:rsidP="007F47D0">
      <w:pPr>
        <w:pStyle w:val="BodyText"/>
      </w:pPr>
      <w:r w:rsidRPr="00572A93">
        <w:t xml:space="preserve">Initial contact </w:t>
      </w:r>
      <w:r w:rsidR="00392A2C" w:rsidRPr="00572A93">
        <w:t xml:space="preserve">may </w:t>
      </w:r>
      <w:r w:rsidRPr="00572A93">
        <w:t xml:space="preserve">be personalised where possible based on knowledge of the participant. </w:t>
      </w:r>
      <w:r w:rsidR="00392A2C" w:rsidRPr="00572A93">
        <w:t>A</w:t>
      </w:r>
      <w:r w:rsidRPr="00572A93">
        <w:t xml:space="preserve">ny contact method named above </w:t>
      </w:r>
      <w:r w:rsidR="00C34CF3" w:rsidRPr="00572A93">
        <w:t>may</w:t>
      </w:r>
      <w:r w:rsidRPr="00572A93">
        <w:t xml:space="preserve"> be attempted twice</w:t>
      </w:r>
      <w:r w:rsidR="00C34CF3" w:rsidRPr="00572A93">
        <w:t>,</w:t>
      </w:r>
      <w:r w:rsidRPr="00572A93">
        <w:t xml:space="preserve"> with a period of </w:t>
      </w:r>
      <w:r w:rsidR="03D4FEC0" w:rsidRPr="00572A93">
        <w:t>4</w:t>
      </w:r>
      <w:r w:rsidRPr="00572A93">
        <w:t xml:space="preserve"> weeks between each contact, before a final letter is issued by post. If there are means to do so, the participant</w:t>
      </w:r>
      <w:r w:rsidR="001A52FA" w:rsidRPr="00572A93">
        <w:t>’</w:t>
      </w:r>
      <w:r w:rsidRPr="00572A93">
        <w:t xml:space="preserve">s GP </w:t>
      </w:r>
      <w:r w:rsidR="00AF41B4" w:rsidRPr="00572A93">
        <w:t xml:space="preserve">may be contacted via </w:t>
      </w:r>
      <w:r w:rsidRPr="00572A93">
        <w:t>secure</w:t>
      </w:r>
      <w:r w:rsidR="00AF41B4" w:rsidRPr="00572A93">
        <w:t xml:space="preserve"> means</w:t>
      </w:r>
      <w:r w:rsidRPr="00572A93">
        <w:t xml:space="preserve"> </w:t>
      </w:r>
      <w:r w:rsidR="0071489A" w:rsidRPr="00572A93">
        <w:t>and ask</w:t>
      </w:r>
      <w:r w:rsidR="00AF41B4" w:rsidRPr="00572A93">
        <w:t>ed</w:t>
      </w:r>
      <w:r w:rsidR="0071489A" w:rsidRPr="00572A93">
        <w:t xml:space="preserve"> to pass on our regained capacity</w:t>
      </w:r>
      <w:r w:rsidR="3FAEF24F" w:rsidRPr="00572A93">
        <w:t xml:space="preserve"> </w:t>
      </w:r>
      <w:r w:rsidR="0071489A" w:rsidRPr="00572A93">
        <w:t>consent letter</w:t>
      </w:r>
      <w:r w:rsidRPr="00572A93">
        <w:t xml:space="preserve">. </w:t>
      </w:r>
      <w:r w:rsidR="00E067F0" w:rsidRPr="00572A93">
        <w:t>All contact efforts should be recorded in the investigator site file with a final consent update added to the clinical database.</w:t>
      </w:r>
    </w:p>
    <w:p w14:paraId="63EF126A" w14:textId="57997223" w:rsidR="4D22BE58" w:rsidRPr="00572A93" w:rsidRDefault="6A9CF3BF" w:rsidP="7DA144BB">
      <w:pPr>
        <w:pStyle w:val="BodyText"/>
      </w:pPr>
      <w:r w:rsidRPr="00572A93">
        <w:t>Pa</w:t>
      </w:r>
      <w:r w:rsidR="551AA06A" w:rsidRPr="00572A93">
        <w:t>rticipants</w:t>
      </w:r>
      <w:r w:rsidRPr="00572A93">
        <w:t xml:space="preserve"> who decline to participate at this stage will be removed from the study</w:t>
      </w:r>
      <w:r w:rsidR="7482A0F2" w:rsidRPr="00572A93">
        <w:t xml:space="preserve"> following our established withdrawal procedures</w:t>
      </w:r>
      <w:r w:rsidRPr="00572A93">
        <w:t>.</w:t>
      </w:r>
      <w:r w:rsidR="3B431E3F" w:rsidRPr="00572A93">
        <w:t xml:space="preserve"> Data that has already been used in research cannot be removed from the study.</w:t>
      </w:r>
    </w:p>
    <w:p w14:paraId="7BD5E2A5" w14:textId="25930AFC" w:rsidR="4D22BE58" w:rsidRPr="00572A93" w:rsidRDefault="6A9CF3BF" w:rsidP="7DA144BB">
      <w:pPr>
        <w:pStyle w:val="BodyText"/>
      </w:pPr>
      <w:r w:rsidRPr="00572A93">
        <w:t>Where the pa</w:t>
      </w:r>
      <w:r w:rsidR="3D41BBA1" w:rsidRPr="00572A93">
        <w:t xml:space="preserve">rticipant </w:t>
      </w:r>
      <w:r w:rsidRPr="00572A93">
        <w:t>cannot be re-contacted despite best endeavours, they will remain in the study</w:t>
      </w:r>
      <w:r w:rsidR="00A31121" w:rsidRPr="00572A93">
        <w:t xml:space="preserve"> based on the advice from the patient’s next of kin, legal representative, or consultee at the time of enrolment</w:t>
      </w:r>
      <w:r w:rsidRPr="00572A93">
        <w:t>. This does not affect the rights of any participant to withdraw from the study at any future date.</w:t>
      </w:r>
    </w:p>
    <w:p w14:paraId="27DBF070" w14:textId="523DBD46" w:rsidR="4D22BE58" w:rsidRDefault="68BDD86E" w:rsidP="00EF5657">
      <w:pPr>
        <w:pStyle w:val="BodyText"/>
      </w:pPr>
      <w:r w:rsidRPr="00572A93">
        <w:lastRenderedPageBreak/>
        <w:t>In the situation where a pa</w:t>
      </w:r>
      <w:r w:rsidR="01CBDC09" w:rsidRPr="00572A93">
        <w:t>rticipant</w:t>
      </w:r>
      <w:r w:rsidRPr="00572A93">
        <w:t xml:space="preserve"> does not survive or will not regain mental capacity, the</w:t>
      </w:r>
      <w:r w:rsidR="5B82C63A" w:rsidRPr="00572A93">
        <w:t>y</w:t>
      </w:r>
      <w:r w:rsidRPr="00572A93">
        <w:t xml:space="preserve"> will remain in the study based on the advice from the </w:t>
      </w:r>
      <w:r w:rsidR="00AB7D34" w:rsidRPr="00572A93">
        <w:t xml:space="preserve">patient’s next of kin, </w:t>
      </w:r>
      <w:r w:rsidRPr="00572A93">
        <w:t xml:space="preserve">legal </w:t>
      </w:r>
      <w:r w:rsidR="00A31121" w:rsidRPr="00572A93">
        <w:t>representative,</w:t>
      </w:r>
      <w:r w:rsidRPr="00572A93">
        <w:t xml:space="preserve"> or consultee at the time of enrolment.</w:t>
      </w:r>
    </w:p>
    <w:p w14:paraId="2A92EC65" w14:textId="179CE41F" w:rsidR="4D22BE58" w:rsidRPr="00B774A7" w:rsidRDefault="0D8723F1" w:rsidP="00A76026">
      <w:pPr>
        <w:pStyle w:val="Heading3"/>
      </w:pPr>
      <w:bookmarkStart w:id="96" w:name="_Toc156378695"/>
      <w:bookmarkStart w:id="97" w:name="_Toc181256571"/>
      <w:r w:rsidRPr="00B774A7">
        <w:t>Capacity assessments</w:t>
      </w:r>
      <w:bookmarkEnd w:id="96"/>
      <w:bookmarkEnd w:id="97"/>
    </w:p>
    <w:p w14:paraId="0342DA6B" w14:textId="7585FE0D" w:rsidR="00A31121" w:rsidRPr="00572A93" w:rsidRDefault="00392A2C" w:rsidP="7DA144BB">
      <w:pPr>
        <w:pStyle w:val="BodyText"/>
      </w:pPr>
      <w:r w:rsidRPr="00572A93">
        <w:t>Healthcare professionals in the research or clinical team will assess capacity.</w:t>
      </w:r>
      <w:r w:rsidR="0D8723F1" w:rsidRPr="00572A93">
        <w:t xml:space="preserve"> </w:t>
      </w:r>
      <w:r w:rsidR="00EC3BDB" w:rsidRPr="00572A93">
        <w:t>If</w:t>
      </w:r>
      <w:r w:rsidR="0D8723F1" w:rsidRPr="00572A93">
        <w:t xml:space="preserve"> a patient continues to be incapacitated beyond the follow-up period, the local investigator will plan a subsequent capacity check, after an interval to be determined </w:t>
      </w:r>
      <w:r w:rsidRPr="00572A93">
        <w:t xml:space="preserve">according to </w:t>
      </w:r>
      <w:r w:rsidR="0D8723F1" w:rsidRPr="00572A93">
        <w:t>the nature of the incapacity. The planned dates of capacity checks on incapacitated survivors will be stored locally in the site file, together with a record of the outcome of each check.</w:t>
      </w:r>
      <w:r w:rsidR="7A6C3592" w:rsidRPr="00572A93">
        <w:t xml:space="preserve"> </w:t>
      </w:r>
    </w:p>
    <w:p w14:paraId="1ED826CB" w14:textId="491C3C55" w:rsidR="003A7A7F" w:rsidRPr="0001780C" w:rsidRDefault="00277D38" w:rsidP="007F47D0">
      <w:pPr>
        <w:pStyle w:val="Heading3"/>
      </w:pPr>
      <w:bookmarkStart w:id="98" w:name="_Toc156378696"/>
      <w:bookmarkStart w:id="99" w:name="_Toc181256572"/>
      <w:r w:rsidRPr="0001780C">
        <w:t>Procedures for initial approach to</w:t>
      </w:r>
      <w:r w:rsidR="008775FF" w:rsidRPr="0001780C">
        <w:t xml:space="preserve"> consent and sample</w:t>
      </w:r>
      <w:r w:rsidRPr="0001780C">
        <w:t xml:space="preserve"> eligible participants</w:t>
      </w:r>
      <w:bookmarkEnd w:id="98"/>
      <w:bookmarkEnd w:id="99"/>
    </w:p>
    <w:p w14:paraId="0AC65FB6" w14:textId="3749564D" w:rsidR="003A7A7F" w:rsidRPr="0001780C" w:rsidRDefault="00151372" w:rsidP="7DA144BB">
      <w:pPr>
        <w:pStyle w:val="BodyText"/>
      </w:pPr>
      <w:r w:rsidRPr="0001780C">
        <w:t>When a patient is identified as eligible to participate, r</w:t>
      </w:r>
      <w:r w:rsidR="003A7A7F" w:rsidRPr="0001780C">
        <w:t xml:space="preserve">ecruitment procedure for all participants will follow the following steps, in order, stopping when </w:t>
      </w:r>
      <w:r w:rsidR="00FB498A" w:rsidRPr="0001780C">
        <w:t xml:space="preserve">a </w:t>
      </w:r>
      <w:r w:rsidR="003A7A7F" w:rsidRPr="0001780C">
        <w:t>sample is obtained and sent by post to GenOMICC central laboratory.</w:t>
      </w:r>
      <w:r w:rsidR="005B7A03" w:rsidRPr="0001780C">
        <w:t xml:space="preserve"> </w:t>
      </w:r>
    </w:p>
    <w:p w14:paraId="3304708F" w14:textId="6D60BB6A" w:rsidR="00176B4D" w:rsidRPr="0001780C" w:rsidRDefault="00540846" w:rsidP="008949CD">
      <w:pPr>
        <w:pStyle w:val="BasicNumberedList"/>
        <w:numPr>
          <w:ilvl w:val="0"/>
          <w:numId w:val="7"/>
        </w:numPr>
      </w:pPr>
      <w:r w:rsidRPr="0001780C">
        <w:t xml:space="preserve">In England, </w:t>
      </w:r>
      <w:proofErr w:type="gramStart"/>
      <w:r w:rsidRPr="0001780C">
        <w:t>Wales</w:t>
      </w:r>
      <w:proofErr w:type="gramEnd"/>
      <w:r w:rsidRPr="0001780C">
        <w:t xml:space="preserve"> or Northern Ireland, w</w:t>
      </w:r>
      <w:r w:rsidR="00176B4D" w:rsidRPr="0001780C">
        <w:t xml:space="preserve">here safe, appropriate, and feasible given local staff resources, a sample </w:t>
      </w:r>
      <w:r w:rsidR="007F613F" w:rsidRPr="0001780C">
        <w:t>may</w:t>
      </w:r>
      <w:r w:rsidR="00176B4D" w:rsidRPr="0001780C">
        <w:t xml:space="preserve"> be obtained and stored pending deferred consent.</w:t>
      </w:r>
      <w:r w:rsidR="003864D3" w:rsidRPr="0001780C">
        <w:t xml:space="preserve"> (See</w:t>
      </w:r>
      <w:r w:rsidR="0057341F" w:rsidRPr="0001780C">
        <w:t xml:space="preserve"> section on</w:t>
      </w:r>
      <w:r w:rsidR="003864D3" w:rsidRPr="0001780C">
        <w:t xml:space="preserve"> </w:t>
      </w:r>
      <w:hyperlink w:anchor="_Deferred_consent" w:history="1">
        <w:r w:rsidR="000E32B8" w:rsidRPr="0001780C">
          <w:rPr>
            <w:rStyle w:val="Hyperlink"/>
            <w:sz w:val="22"/>
            <w:szCs w:val="20"/>
          </w:rPr>
          <w:t>Deferred consent</w:t>
        </w:r>
      </w:hyperlink>
      <w:r w:rsidR="003864D3" w:rsidRPr="0001780C">
        <w:t>)</w:t>
      </w:r>
    </w:p>
    <w:p w14:paraId="5DBCCA73" w14:textId="219D5BB0" w:rsidR="00EA49F2" w:rsidRPr="0001780C" w:rsidRDefault="00EA49F2" w:rsidP="008949CD">
      <w:pPr>
        <w:pStyle w:val="BasicNumberedList"/>
        <w:numPr>
          <w:ilvl w:val="0"/>
          <w:numId w:val="7"/>
        </w:numPr>
      </w:pPr>
      <w:r w:rsidRPr="0001780C">
        <w:t>The participant, or appropriate representative will be approached by the clinical or research team caring for case</w:t>
      </w:r>
      <w:r w:rsidR="008775FF" w:rsidRPr="0001780C">
        <w:t xml:space="preserve"> to obtain consent:</w:t>
      </w:r>
    </w:p>
    <w:p w14:paraId="34DB69DD" w14:textId="3E441BDE" w:rsidR="003A7A7F" w:rsidRPr="0001780C" w:rsidRDefault="003A7A7F" w:rsidP="008949CD">
      <w:pPr>
        <w:pStyle w:val="BasicBulletList"/>
        <w:numPr>
          <w:ilvl w:val="1"/>
          <w:numId w:val="1"/>
        </w:numPr>
      </w:pPr>
      <w:r w:rsidRPr="0001780C">
        <w:t xml:space="preserve">If </w:t>
      </w:r>
      <w:r w:rsidR="00EA49F2" w:rsidRPr="0001780C">
        <w:t xml:space="preserve">not already done, a </w:t>
      </w:r>
      <w:r w:rsidR="008775FF" w:rsidRPr="0001780C">
        <w:t>DNA</w:t>
      </w:r>
      <w:r w:rsidR="00EA49F2" w:rsidRPr="0001780C">
        <w:t xml:space="preserve"> sample should be</w:t>
      </w:r>
      <w:r w:rsidRPr="0001780C">
        <w:t xml:space="preserve"> obtained during </w:t>
      </w:r>
      <w:r w:rsidR="00EA49F2" w:rsidRPr="0001780C">
        <w:t xml:space="preserve">the </w:t>
      </w:r>
      <w:r w:rsidRPr="0001780C">
        <w:t>acute admission</w:t>
      </w:r>
    </w:p>
    <w:p w14:paraId="31F3CF4F" w14:textId="0964A8FA" w:rsidR="007B27F5" w:rsidRPr="0001780C" w:rsidRDefault="00EA49F2" w:rsidP="7DA144BB">
      <w:pPr>
        <w:pStyle w:val="BasicBulletList"/>
        <w:numPr>
          <w:ilvl w:val="0"/>
          <w:numId w:val="0"/>
        </w:numPr>
        <w:ind w:left="1440"/>
      </w:pPr>
      <w:r w:rsidRPr="0001780C">
        <w:t>OR</w:t>
      </w:r>
    </w:p>
    <w:p w14:paraId="1EB8C4D2" w14:textId="203AF675" w:rsidR="003A7A7F" w:rsidRPr="0001780C" w:rsidRDefault="00814608" w:rsidP="008949CD">
      <w:pPr>
        <w:pStyle w:val="BasicBulletList"/>
        <w:numPr>
          <w:ilvl w:val="1"/>
          <w:numId w:val="1"/>
        </w:numPr>
      </w:pPr>
      <w:r w:rsidRPr="0001780C">
        <w:t xml:space="preserve">A </w:t>
      </w:r>
      <w:r w:rsidR="008775FF" w:rsidRPr="0001780C">
        <w:t>DNA</w:t>
      </w:r>
      <w:r w:rsidR="003A7A7F" w:rsidRPr="0001780C">
        <w:t xml:space="preserve"> sample</w:t>
      </w:r>
      <w:r w:rsidRPr="0001780C">
        <w:t xml:space="preserve"> should be</w:t>
      </w:r>
      <w:r w:rsidR="003A7A7F" w:rsidRPr="0001780C">
        <w:t xml:space="preserve"> obtained by appointment</w:t>
      </w:r>
      <w:r w:rsidR="00CE2E40" w:rsidRPr="0001780C">
        <w:t xml:space="preserve"> with the patient, in coordination</w:t>
      </w:r>
      <w:r w:rsidR="003A7A7F" w:rsidRPr="0001780C">
        <w:t xml:space="preserve"> with</w:t>
      </w:r>
      <w:r w:rsidR="00CE2E40" w:rsidRPr="0001780C">
        <w:t xml:space="preserve"> the</w:t>
      </w:r>
      <w:r w:rsidR="003A7A7F" w:rsidRPr="0001780C">
        <w:t xml:space="preserve"> clinical </w:t>
      </w:r>
      <w:r w:rsidR="00EA49F2" w:rsidRPr="0001780C">
        <w:t xml:space="preserve">or research </w:t>
      </w:r>
      <w:r w:rsidR="003A7A7F" w:rsidRPr="0001780C">
        <w:t xml:space="preserve">team caring for </w:t>
      </w:r>
      <w:r w:rsidR="00EA49F2" w:rsidRPr="0001780C">
        <w:t>the case</w:t>
      </w:r>
    </w:p>
    <w:p w14:paraId="110DA5F9" w14:textId="7977F073" w:rsidR="008775FF" w:rsidRPr="0001780C" w:rsidRDefault="008775FF" w:rsidP="008775FF">
      <w:pPr>
        <w:pStyle w:val="BasicBulletList"/>
        <w:numPr>
          <w:ilvl w:val="0"/>
          <w:numId w:val="0"/>
        </w:numPr>
        <w:ind w:left="1440"/>
      </w:pPr>
      <w:r w:rsidRPr="0001780C">
        <w:t>OR</w:t>
      </w:r>
    </w:p>
    <w:p w14:paraId="43E4165E" w14:textId="15B05208" w:rsidR="008775FF" w:rsidRPr="0001780C" w:rsidRDefault="008775FF" w:rsidP="008949CD">
      <w:pPr>
        <w:pStyle w:val="BasicBulletList"/>
        <w:numPr>
          <w:ilvl w:val="1"/>
          <w:numId w:val="1"/>
        </w:numPr>
      </w:pPr>
      <w:r w:rsidRPr="0001780C">
        <w:t>In the case of a retrospectively recruited patient who has been discharged from hospital, sampling can be obtained as outlined in step 3 below.</w:t>
      </w:r>
    </w:p>
    <w:p w14:paraId="4E51DD5F" w14:textId="0B346457" w:rsidR="003A7A7F" w:rsidRPr="00572A93" w:rsidRDefault="00766074" w:rsidP="008949CD">
      <w:pPr>
        <w:pStyle w:val="BasicBulletList"/>
        <w:numPr>
          <w:ilvl w:val="0"/>
          <w:numId w:val="7"/>
        </w:numPr>
      </w:pPr>
      <w:r>
        <w:t>If a</w:t>
      </w:r>
      <w:r w:rsidR="00F97143" w:rsidRPr="00572A93">
        <w:t>greement</w:t>
      </w:r>
      <w:r w:rsidR="003A7A7F" w:rsidRPr="00572A93">
        <w:t xml:space="preserve"> to approach </w:t>
      </w:r>
      <w:r w:rsidR="00EA49F2">
        <w:t xml:space="preserve">the </w:t>
      </w:r>
      <w:r w:rsidR="003A7A7F" w:rsidRPr="00572A93">
        <w:t>participant or appropriate representative</w:t>
      </w:r>
      <w:r w:rsidR="00EA2260">
        <w:t xml:space="preserve"> is</w:t>
      </w:r>
      <w:r w:rsidR="003A7A7F" w:rsidRPr="00572A93">
        <w:t xml:space="preserve"> granted </w:t>
      </w:r>
      <w:r w:rsidR="00375D42">
        <w:t>by</w:t>
      </w:r>
      <w:r w:rsidR="003A7A7F" w:rsidRPr="00572A93">
        <w:t xml:space="preserve"> </w:t>
      </w:r>
      <w:r w:rsidR="00EA2260">
        <w:t xml:space="preserve">a </w:t>
      </w:r>
      <w:r w:rsidR="003A7A7F" w:rsidRPr="00572A93">
        <w:t xml:space="preserve">public health team in contact with </w:t>
      </w:r>
      <w:r w:rsidR="00EA49F2">
        <w:t>case</w:t>
      </w:r>
      <w:r w:rsidR="003A7A7F" w:rsidRPr="00572A93">
        <w:t>/family</w:t>
      </w:r>
    </w:p>
    <w:p w14:paraId="35A66ABE" w14:textId="4BBFF3BF" w:rsidR="003A7A7F" w:rsidRPr="00572A93" w:rsidRDefault="00375D42" w:rsidP="008949CD">
      <w:pPr>
        <w:pStyle w:val="BasicBulletList"/>
        <w:numPr>
          <w:ilvl w:val="1"/>
          <w:numId w:val="1"/>
        </w:numPr>
      </w:pPr>
      <w:r>
        <w:t xml:space="preserve">The participant or representative </w:t>
      </w:r>
      <w:r w:rsidR="00766074">
        <w:t>will be</w:t>
      </w:r>
      <w:r>
        <w:t xml:space="preserve"> a</w:t>
      </w:r>
      <w:r w:rsidR="003A7A7F" w:rsidRPr="00572A93">
        <w:t xml:space="preserve">pproached </w:t>
      </w:r>
      <w:r w:rsidR="00EA49F2" w:rsidRPr="00572A93">
        <w:t>by the clinical or research team caring for case</w:t>
      </w:r>
      <w:r w:rsidR="00EA49F2">
        <w:t xml:space="preserve"> or</w:t>
      </w:r>
      <w:r w:rsidR="00766074">
        <w:t xml:space="preserve"> by </w:t>
      </w:r>
      <w:r w:rsidR="00EA49F2">
        <w:t>the</w:t>
      </w:r>
      <w:r w:rsidR="003A7A7F" w:rsidRPr="00572A93">
        <w:t xml:space="preserve"> central</w:t>
      </w:r>
      <w:r w:rsidR="00766074">
        <w:t xml:space="preserve"> GenOMICC coordinating</w:t>
      </w:r>
      <w:r w:rsidR="003A7A7F" w:rsidRPr="00572A93">
        <w:t xml:space="preserve"> team</w:t>
      </w:r>
      <w:r w:rsidR="008775FF">
        <w:t xml:space="preserve"> to obtain consent</w:t>
      </w:r>
      <w:r w:rsidR="003A7A7F" w:rsidRPr="00572A93">
        <w:t>:</w:t>
      </w:r>
    </w:p>
    <w:p w14:paraId="5E1819D7" w14:textId="70956DBB" w:rsidR="00EA49F2" w:rsidRDefault="003A7A7F" w:rsidP="008949CD">
      <w:pPr>
        <w:pStyle w:val="BasicBulletList"/>
        <w:numPr>
          <w:ilvl w:val="2"/>
          <w:numId w:val="1"/>
        </w:numPr>
      </w:pPr>
      <w:r w:rsidRPr="00572A93">
        <w:t>if possible,</w:t>
      </w:r>
      <w:r w:rsidR="00766074">
        <w:t xml:space="preserve"> a</w:t>
      </w:r>
      <w:r w:rsidRPr="00572A93">
        <w:t xml:space="preserve"> blood sample kit </w:t>
      </w:r>
      <w:r w:rsidR="00766074">
        <w:t xml:space="preserve">will be </w:t>
      </w:r>
      <w:r w:rsidRPr="00572A93">
        <w:t>sent by post to participant</w:t>
      </w:r>
    </w:p>
    <w:p w14:paraId="29CFBBEC" w14:textId="70ED7378" w:rsidR="003A7A7F" w:rsidRPr="00572A93" w:rsidRDefault="00766074" w:rsidP="008949CD">
      <w:pPr>
        <w:pStyle w:val="BasicBulletList"/>
        <w:numPr>
          <w:ilvl w:val="3"/>
          <w:numId w:val="1"/>
        </w:numPr>
      </w:pPr>
      <w:r>
        <w:lastRenderedPageBreak/>
        <w:t xml:space="preserve">a </w:t>
      </w:r>
      <w:r w:rsidR="003A7A7F" w:rsidRPr="00572A93">
        <w:t>blood sample</w:t>
      </w:r>
      <w:r>
        <w:t xml:space="preserve"> will be obtained</w:t>
      </w:r>
      <w:r w:rsidR="003A7A7F" w:rsidRPr="00572A93">
        <w:t xml:space="preserve"> by research nurse</w:t>
      </w:r>
      <w:r w:rsidR="00A7381E">
        <w:t xml:space="preserve"> in the patient’s home or another appropriate location</w:t>
      </w:r>
    </w:p>
    <w:p w14:paraId="336DC3BF" w14:textId="0E947070" w:rsidR="008454F9" w:rsidRPr="00572A93" w:rsidRDefault="00EA49F2" w:rsidP="00EA49F2">
      <w:pPr>
        <w:pStyle w:val="BasicBulletList"/>
        <w:numPr>
          <w:ilvl w:val="0"/>
          <w:numId w:val="0"/>
        </w:numPr>
        <w:ind w:left="1080" w:firstLine="720"/>
      </w:pPr>
      <w:r>
        <w:t>OR</w:t>
      </w:r>
    </w:p>
    <w:p w14:paraId="2169072E" w14:textId="405A7A11" w:rsidR="003A7A7F" w:rsidRPr="00572A93" w:rsidRDefault="00462C9D" w:rsidP="008949CD">
      <w:pPr>
        <w:pStyle w:val="BasicBulletList"/>
        <w:numPr>
          <w:ilvl w:val="2"/>
          <w:numId w:val="1"/>
        </w:numPr>
      </w:pPr>
      <w:r>
        <w:t xml:space="preserve">a </w:t>
      </w:r>
      <w:r w:rsidR="003A7A7F" w:rsidRPr="00572A93">
        <w:t xml:space="preserve">saliva kit </w:t>
      </w:r>
      <w:r>
        <w:t xml:space="preserve">will be </w:t>
      </w:r>
      <w:r w:rsidR="003A7A7F" w:rsidRPr="00572A93">
        <w:t xml:space="preserve">sent by post to </w:t>
      </w:r>
      <w:r w:rsidR="00E5264D">
        <w:t xml:space="preserve">the </w:t>
      </w:r>
      <w:r w:rsidR="003A7A7F" w:rsidRPr="00572A93">
        <w:t>participant,</w:t>
      </w:r>
    </w:p>
    <w:p w14:paraId="1F47B8F5" w14:textId="4300771A" w:rsidR="00EA49F2" w:rsidRDefault="00BD6E10" w:rsidP="008949CD">
      <w:pPr>
        <w:pStyle w:val="BasicBulletList"/>
        <w:numPr>
          <w:ilvl w:val="3"/>
          <w:numId w:val="1"/>
        </w:numPr>
      </w:pPr>
      <w:r>
        <w:t xml:space="preserve">a </w:t>
      </w:r>
      <w:r w:rsidR="003A7A7F" w:rsidRPr="00572A93">
        <w:t xml:space="preserve">saliva </w:t>
      </w:r>
      <w:r>
        <w:t>sample will be obtained by the participant</w:t>
      </w:r>
    </w:p>
    <w:p w14:paraId="0E4FFD4D" w14:textId="79815E7B" w:rsidR="00EA49F2" w:rsidRPr="00572A93" w:rsidRDefault="00EA49F2" w:rsidP="008949CD">
      <w:pPr>
        <w:pStyle w:val="BasicBulletList"/>
        <w:numPr>
          <w:ilvl w:val="0"/>
          <w:numId w:val="7"/>
        </w:numPr>
      </w:pPr>
      <w:r>
        <w:t>If a participant has expressed willingness to participate directly to the central</w:t>
      </w:r>
      <w:r w:rsidR="006E228B">
        <w:t xml:space="preserve"> GenOMICC coordinating</w:t>
      </w:r>
      <w:r>
        <w:t xml:space="preserve"> team (for example, as is commonly the case for participants in the control group) they will be contacted by the central team and samples will be obtained as described in item 3 above. </w:t>
      </w:r>
    </w:p>
    <w:p w14:paraId="6C9F8F82" w14:textId="293E3AD8" w:rsidR="003A7A7F" w:rsidRDefault="003A7A7F" w:rsidP="003A7A7F">
      <w:pPr>
        <w:pStyle w:val="Heading3"/>
        <w:jc w:val="both"/>
        <w:rPr>
          <w:color w:val="000000" w:themeColor="text1"/>
        </w:rPr>
      </w:pPr>
      <w:bookmarkStart w:id="100" w:name="_Toc156378697"/>
      <w:bookmarkStart w:id="101" w:name="_Toc181256573"/>
      <w:r w:rsidRPr="7706D474">
        <w:rPr>
          <w:color w:val="000000" w:themeColor="text1"/>
        </w:rPr>
        <w:t xml:space="preserve">Enrolment procedures for </w:t>
      </w:r>
      <w:r w:rsidR="00B41CF4">
        <w:rPr>
          <w:color w:val="000000" w:themeColor="text1"/>
        </w:rPr>
        <w:t>parents of cases</w:t>
      </w:r>
      <w:bookmarkEnd w:id="100"/>
      <w:bookmarkEnd w:id="101"/>
    </w:p>
    <w:p w14:paraId="01954833" w14:textId="34FFC313" w:rsidR="003A7A7F" w:rsidRDefault="003A7A7F" w:rsidP="00EF5657">
      <w:pPr>
        <w:pStyle w:val="BodyText"/>
      </w:pPr>
      <w:r>
        <w:t xml:space="preserve">Parents of cases meeting the eligibility criteria will be recruited according to the procedure for cases, in order, such that the primary aim is for the initial approach to be made directly by the clinical team caring for a case. </w:t>
      </w:r>
      <w:r w:rsidR="00F97143">
        <w:t xml:space="preserve">Where this is not possible, </w:t>
      </w:r>
      <w:r w:rsidR="00365BD2">
        <w:t>the agreement of an existing clinical or public health team will be required before contact is made from the central team</w:t>
      </w:r>
      <w:r w:rsidR="005B7A03">
        <w:t xml:space="preserve">. </w:t>
      </w:r>
      <w:r w:rsidR="00684457">
        <w:t>In new outbreaks or exposures of public health interest, such as the outbreak of unexplained hepatitis in children in 2022</w:t>
      </w:r>
      <w:r w:rsidR="00DF2119">
        <w:t xml:space="preserve">, parents of cases are </w:t>
      </w:r>
      <w:r w:rsidR="009052E6">
        <w:t>aware</w:t>
      </w:r>
      <w:r w:rsidR="00DF2119">
        <w:t xml:space="preserve"> of the unusual circumstances and the close involvement </w:t>
      </w:r>
      <w:r w:rsidR="00DF2119" w:rsidRPr="00572A93">
        <w:t xml:space="preserve">of </w:t>
      </w:r>
      <w:r w:rsidR="6D8451A8" w:rsidRPr="00572A93">
        <w:t>p</w:t>
      </w:r>
      <w:r w:rsidR="00DF2119" w:rsidRPr="00572A93">
        <w:t xml:space="preserve">ublic </w:t>
      </w:r>
      <w:r w:rsidR="7412AFD6" w:rsidRPr="00572A93">
        <w:t>h</w:t>
      </w:r>
      <w:r w:rsidR="00DF2119" w:rsidRPr="00572A93">
        <w:t>ealth</w:t>
      </w:r>
      <w:r w:rsidR="23199250" w:rsidRPr="00572A93">
        <w:t xml:space="preserve"> agencies</w:t>
      </w:r>
      <w:r w:rsidR="00DF2119" w:rsidRPr="00572A93">
        <w:t>.</w:t>
      </w:r>
      <w:r w:rsidR="00DF2119">
        <w:t xml:space="preserve"> </w:t>
      </w:r>
    </w:p>
    <w:p w14:paraId="57A9549D" w14:textId="048BEEB2" w:rsidR="4D22BE58" w:rsidRPr="00BF1A80" w:rsidRDefault="00536E50" w:rsidP="00EF5657">
      <w:pPr>
        <w:pStyle w:val="BodyText"/>
      </w:pPr>
      <w:r w:rsidRPr="00BF1A80">
        <w:t>Research teams at approved research locations are not</w:t>
      </w:r>
      <w:r w:rsidR="009052E6">
        <w:t xml:space="preserve"> </w:t>
      </w:r>
      <w:r w:rsidRPr="00BF1A80">
        <w:t>routinely</w:t>
      </w:r>
      <w:r w:rsidR="009052E6">
        <w:t xml:space="preserve"> asked to</w:t>
      </w:r>
      <w:r w:rsidRPr="00BF1A80">
        <w:t xml:space="preserve"> recruit parents of patients and the central study team will advise on circumstances of special interest. </w:t>
      </w:r>
    </w:p>
    <w:p w14:paraId="64997A50" w14:textId="4CA94AE3" w:rsidR="00C6525C" w:rsidRPr="003279FA" w:rsidRDefault="00E202C0" w:rsidP="009739DD">
      <w:pPr>
        <w:pStyle w:val="Heading3"/>
        <w:jc w:val="both"/>
        <w:rPr>
          <w:color w:val="000000" w:themeColor="text1"/>
        </w:rPr>
      </w:pPr>
      <w:bookmarkStart w:id="102" w:name="_Toc156378698"/>
      <w:bookmarkStart w:id="103" w:name="_Toc181256574"/>
      <w:r w:rsidRPr="7706D474">
        <w:rPr>
          <w:color w:val="000000" w:themeColor="text1"/>
        </w:rPr>
        <w:t>E</w:t>
      </w:r>
      <w:r w:rsidR="00A52731">
        <w:rPr>
          <w:color w:val="000000" w:themeColor="text1"/>
        </w:rPr>
        <w:t>n</w:t>
      </w:r>
      <w:r w:rsidRPr="7706D474">
        <w:rPr>
          <w:color w:val="000000" w:themeColor="text1"/>
        </w:rPr>
        <w:t>rolment procedures for patients after death</w:t>
      </w:r>
      <w:bookmarkEnd w:id="102"/>
      <w:bookmarkEnd w:id="103"/>
    </w:p>
    <w:p w14:paraId="6EF644EC" w14:textId="215DA6DF" w:rsidR="00C6525C" w:rsidRPr="007F47D0" w:rsidRDefault="00573AE3" w:rsidP="00A61CA6">
      <w:pPr>
        <w:pStyle w:val="BodyText"/>
      </w:pPr>
      <w:r w:rsidRPr="007F47D0">
        <w:t>In some cases, discarded blood samples from routine clinical sampling are stored in hospital laboratories after death.</w:t>
      </w:r>
      <w:r w:rsidR="00666725" w:rsidRPr="007F47D0">
        <w:t xml:space="preserve"> Since these cases are, by definition, the most susceptible</w:t>
      </w:r>
      <w:r w:rsidR="001F11FB" w:rsidRPr="007F47D0">
        <w:t xml:space="preserve"> to a given disease, they are the most important group to include in a genetic study. </w:t>
      </w:r>
      <w:r w:rsidR="00917FB2" w:rsidRPr="007F47D0">
        <w:t xml:space="preserve">In almost all cases, the patient will have been recruited to GenOMICC during life, either by direct consent from the patient or </w:t>
      </w:r>
      <w:r w:rsidR="00E05161" w:rsidRPr="007F47D0">
        <w:t xml:space="preserve">through a representative. </w:t>
      </w:r>
      <w:r w:rsidR="003B2F77" w:rsidRPr="007F47D0">
        <w:t xml:space="preserve">However, in </w:t>
      </w:r>
      <w:r w:rsidR="00D73D63" w:rsidRPr="007F47D0">
        <w:t>rare</w:t>
      </w:r>
      <w:r w:rsidR="003B2F77" w:rsidRPr="007F47D0">
        <w:t xml:space="preserve"> cases, </w:t>
      </w:r>
      <w:r w:rsidR="00FF772D" w:rsidRPr="007F47D0">
        <w:t xml:space="preserve">in which </w:t>
      </w:r>
      <w:r w:rsidR="003B2F77" w:rsidRPr="007F47D0">
        <w:t xml:space="preserve">death occurs within hours of presentation to critical care </w:t>
      </w:r>
      <w:r w:rsidR="00E44A7E" w:rsidRPr="007F47D0">
        <w:t>or a patient could not be recruited during life for some other reason,</w:t>
      </w:r>
      <w:r w:rsidR="007173D4" w:rsidRPr="007F47D0">
        <w:t xml:space="preserve"> it </w:t>
      </w:r>
      <w:r w:rsidR="008E2B8D" w:rsidRPr="007F47D0">
        <w:t xml:space="preserve">may be necessary to ask the grieving relatives of a </w:t>
      </w:r>
      <w:proofErr w:type="gramStart"/>
      <w:r w:rsidR="008E2B8D" w:rsidRPr="007F47D0">
        <w:t>recently-deceased</w:t>
      </w:r>
      <w:proofErr w:type="gramEnd"/>
      <w:r w:rsidR="008E2B8D" w:rsidRPr="007F47D0">
        <w:t xml:space="preserve"> patient for consent to participate</w:t>
      </w:r>
      <w:r w:rsidR="00E83D21" w:rsidRPr="007F47D0">
        <w:t xml:space="preserve"> in line with the Human Tissue Act 2004 (in England, Wales and Northern Ireland) and the Human Tissue (Scotland) Act 2006.</w:t>
      </w:r>
    </w:p>
    <w:p w14:paraId="78BF0738" w14:textId="10625C86" w:rsidR="001002E9" w:rsidRPr="007F47D0" w:rsidRDefault="001002E9" w:rsidP="007F47D0">
      <w:pPr>
        <w:pStyle w:val="BodyText"/>
      </w:pPr>
      <w:r w:rsidRPr="007F47D0">
        <w:t>Where possible this will be done in person. Critical care clinicians and nurses are very accustomed to dealing with distraught relatives, and in all cases the approach will be made by an experienced clinician who will handle the discussion with the utmost sensitivi</w:t>
      </w:r>
      <w:r w:rsidR="008B344D" w:rsidRPr="007F47D0">
        <w:t>t</w:t>
      </w:r>
      <w:r w:rsidRPr="007F47D0">
        <w:t>y and care.</w:t>
      </w:r>
      <w:r w:rsidR="005E0E1B" w:rsidRPr="007F47D0">
        <w:t xml:space="preserve"> </w:t>
      </w:r>
      <w:r w:rsidR="00306100" w:rsidRPr="007F47D0">
        <w:t>T</w:t>
      </w:r>
      <w:r w:rsidR="009C121F" w:rsidRPr="007F47D0">
        <w:t>he patient</w:t>
      </w:r>
      <w:r w:rsidR="00EB3D9B" w:rsidRPr="007F47D0">
        <w:t>’</w:t>
      </w:r>
      <w:r w:rsidR="009C121F" w:rsidRPr="007F47D0">
        <w:t>s next of kin</w:t>
      </w:r>
      <w:r w:rsidR="00830672" w:rsidRPr="007F47D0">
        <w:t>,</w:t>
      </w:r>
      <w:r w:rsidR="009C121F" w:rsidRPr="007F47D0">
        <w:t xml:space="preserve"> </w:t>
      </w:r>
      <w:r w:rsidR="00B41ED5" w:rsidRPr="007F47D0">
        <w:t xml:space="preserve">or another appropriate person to represent the wishes of the deceased, will </w:t>
      </w:r>
      <w:r w:rsidR="00306100" w:rsidRPr="007F47D0">
        <w:t xml:space="preserve">be asked to consent on behalf of the patient. </w:t>
      </w:r>
      <w:r w:rsidR="00630108" w:rsidRPr="007F47D0">
        <w:t xml:space="preserve">In some </w:t>
      </w:r>
      <w:r w:rsidR="00E83D21" w:rsidRPr="007F47D0">
        <w:t>cases,</w:t>
      </w:r>
      <w:r w:rsidR="00630108" w:rsidRPr="007F47D0">
        <w:t xml:space="preserve"> contact may be made by telephone</w:t>
      </w:r>
      <w:r w:rsidR="005D7E29" w:rsidRPr="007F47D0">
        <w:t xml:space="preserve">. If the </w:t>
      </w:r>
      <w:r w:rsidR="00D5213B" w:rsidRPr="007F47D0">
        <w:t xml:space="preserve">request is </w:t>
      </w:r>
      <w:r w:rsidR="00D5213B" w:rsidRPr="007F47D0">
        <w:lastRenderedPageBreak/>
        <w:t xml:space="preserve">declined, this will be clearly recorded in the local site file </w:t>
      </w:r>
      <w:proofErr w:type="gramStart"/>
      <w:r w:rsidR="00D5213B" w:rsidRPr="007F47D0">
        <w:t>in order to</w:t>
      </w:r>
      <w:proofErr w:type="gramEnd"/>
      <w:r w:rsidR="00D5213B" w:rsidRPr="007F47D0">
        <w:t xml:space="preserve"> ensure that no further contact is attempted.</w:t>
      </w:r>
    </w:p>
    <w:p w14:paraId="0AE8A09A" w14:textId="7E7D753F" w:rsidR="001B0CDB" w:rsidRPr="00C6525C" w:rsidRDefault="00536E50" w:rsidP="008C196E">
      <w:pPr>
        <w:pStyle w:val="BodyText"/>
      </w:pPr>
      <w:r w:rsidRPr="00BF1A80">
        <w:t>We may in extraordinary circumstances recruit patients who have died. To ensure that the programme is able study the genetic factors that cause people to succumb from</w:t>
      </w:r>
      <w:r w:rsidR="00690305" w:rsidRPr="00BF1A80">
        <w:t xml:space="preserve"> serious and sudden outbreaks such as</w:t>
      </w:r>
      <w:r w:rsidRPr="00BF1A80">
        <w:t xml:space="preserve"> COVID-19 despite intensive care as well as those that cause people require intensive care but survive, a submission is being prepared for the Confidentiality Advisory Group to collect and use their data for research purposes.</w:t>
      </w:r>
      <w:r>
        <w:t xml:space="preserve"> </w:t>
      </w:r>
    </w:p>
    <w:p w14:paraId="5384E85A" w14:textId="67D9D0CC" w:rsidR="006378E9" w:rsidRPr="007F47D0" w:rsidRDefault="006378E9" w:rsidP="007F47D0">
      <w:pPr>
        <w:pStyle w:val="Heading3"/>
      </w:pPr>
      <w:bookmarkStart w:id="104" w:name="_Toc156378699"/>
      <w:bookmarkStart w:id="105" w:name="_Toc181256575"/>
      <w:r w:rsidRPr="7706D474">
        <w:t xml:space="preserve">Enrolment procedures for </w:t>
      </w:r>
      <w:r w:rsidR="00B41CF4">
        <w:t>retrospectively recruited</w:t>
      </w:r>
      <w:r w:rsidRPr="7706D474">
        <w:t xml:space="preserve"> patients</w:t>
      </w:r>
      <w:bookmarkEnd w:id="104"/>
      <w:bookmarkEnd w:id="105"/>
    </w:p>
    <w:p w14:paraId="2CD2AC06" w14:textId="7FA65D70" w:rsidR="006378E9" w:rsidRPr="00A61CA6" w:rsidRDefault="006378E9" w:rsidP="00A61CA6">
      <w:pPr>
        <w:pStyle w:val="BodyText"/>
      </w:pPr>
      <w:r w:rsidRPr="00A61CA6">
        <w:t>Where patients have met the inclusion criteria for this study, but have recovered and been discharged, they remain eligible for recruitment to GenOMICC. Such patients may be approached directly by a member of the clinical</w:t>
      </w:r>
      <w:r w:rsidR="00245956" w:rsidRPr="00A61CA6">
        <w:t xml:space="preserve"> or research</w:t>
      </w:r>
      <w:r w:rsidRPr="00A61CA6">
        <w:t xml:space="preserve"> team in the hospital or intensive care unit who cared for them during their primary illness</w:t>
      </w:r>
      <w:r w:rsidR="00A60BF4" w:rsidRPr="00A61CA6">
        <w:t xml:space="preserve"> (including affiliated research staff)</w:t>
      </w:r>
      <w:r w:rsidRPr="00A61CA6">
        <w:t xml:space="preserve">, and hence would reasonably be expected to have knowledge of the patient’s eligibility for the study. </w:t>
      </w:r>
    </w:p>
    <w:p w14:paraId="291E282A" w14:textId="77777777" w:rsidR="006378E9" w:rsidRPr="00A61CA6" w:rsidRDefault="006378E9" w:rsidP="00A61CA6">
      <w:pPr>
        <w:pStyle w:val="BodyText"/>
      </w:pPr>
      <w:r w:rsidRPr="00A61CA6">
        <w:t>If the patient presents for out-patient care or attends the hospital for any other reason, they may be approached in person.</w:t>
      </w:r>
    </w:p>
    <w:p w14:paraId="04F79FC3" w14:textId="77777777" w:rsidR="006378E9" w:rsidRPr="00A61CA6" w:rsidRDefault="006378E9" w:rsidP="00A61CA6">
      <w:pPr>
        <w:pStyle w:val="BodyText"/>
      </w:pPr>
      <w:r w:rsidRPr="00A61CA6">
        <w:t xml:space="preserve">Otherwise, the patient will be contacted by mail, </w:t>
      </w:r>
      <w:proofErr w:type="gramStart"/>
      <w:r w:rsidRPr="00A61CA6">
        <w:t>telephone</w:t>
      </w:r>
      <w:proofErr w:type="gramEnd"/>
      <w:r w:rsidRPr="00A61CA6">
        <w:t xml:space="preserve"> or email by a member of the clinical team who cared for them</w:t>
      </w:r>
      <w:r w:rsidR="003A0962" w:rsidRPr="00A61CA6">
        <w:t xml:space="preserve"> (including affiliated research staff)</w:t>
      </w:r>
      <w:r w:rsidRPr="00A61CA6">
        <w:t>. If the patient refuses, this will be clearly recorded in the site file at the recruiting site to ensure that the patient is not contacted again.</w:t>
      </w:r>
    </w:p>
    <w:p w14:paraId="2AB8C0C7" w14:textId="50459F03" w:rsidR="006378E9" w:rsidRDefault="0083254E" w:rsidP="009739DD">
      <w:pPr>
        <w:pStyle w:val="Heading3"/>
        <w:jc w:val="both"/>
        <w:rPr>
          <w:color w:val="000000" w:themeColor="text1"/>
        </w:rPr>
      </w:pPr>
      <w:bookmarkStart w:id="106" w:name="_Toc156378700"/>
      <w:bookmarkStart w:id="107" w:name="_Toc181256576"/>
      <w:r w:rsidRPr="7706D474">
        <w:rPr>
          <w:color w:val="000000" w:themeColor="text1"/>
        </w:rPr>
        <w:t>Enrolment procedures for</w:t>
      </w:r>
      <w:r w:rsidR="006378E9" w:rsidRPr="7706D474">
        <w:rPr>
          <w:color w:val="000000" w:themeColor="text1"/>
        </w:rPr>
        <w:t xml:space="preserve"> volunteers</w:t>
      </w:r>
      <w:r w:rsidRPr="7706D474">
        <w:rPr>
          <w:color w:val="000000" w:themeColor="text1"/>
        </w:rPr>
        <w:t xml:space="preserve"> from the community</w:t>
      </w:r>
      <w:bookmarkEnd w:id="106"/>
      <w:bookmarkEnd w:id="107"/>
    </w:p>
    <w:p w14:paraId="0CC849F8" w14:textId="310AD046" w:rsidR="008F065A" w:rsidRDefault="00481D0C" w:rsidP="00EF5657">
      <w:pPr>
        <w:pStyle w:val="BodyText"/>
      </w:pPr>
      <w:r>
        <w:t xml:space="preserve">Eligible </w:t>
      </w:r>
      <w:r w:rsidR="007B5699">
        <w:t>volunteers</w:t>
      </w:r>
      <w:r>
        <w:t xml:space="preserve"> </w:t>
      </w:r>
      <w:r w:rsidR="00EB3D9B">
        <w:t xml:space="preserve">(including individuals </w:t>
      </w:r>
      <w:r w:rsidR="00085026">
        <w:t xml:space="preserve">for the control or comparison groups, such as individuals </w:t>
      </w:r>
      <w:r w:rsidR="00EB3D9B">
        <w:t>with non-severe COVID-19</w:t>
      </w:r>
      <w:r w:rsidR="00085026">
        <w:t>, or other individuals who meet the entry criteria but have not yet been included in the study</w:t>
      </w:r>
      <w:r w:rsidR="00EB3D9B">
        <w:t xml:space="preserve">) </w:t>
      </w:r>
      <w:r>
        <w:t xml:space="preserve">will be identified through advertising to the general population, </w:t>
      </w:r>
      <w:r w:rsidR="009D5E64">
        <w:t xml:space="preserve">or through existing research activities such as </w:t>
      </w:r>
      <w:proofErr w:type="spellStart"/>
      <w:r w:rsidR="009D5E64">
        <w:t>sero</w:t>
      </w:r>
      <w:proofErr w:type="spellEnd"/>
      <w:r w:rsidR="00E83D21">
        <w:t>-</w:t>
      </w:r>
      <w:r w:rsidR="009D5E64">
        <w:t>surveillance studies</w:t>
      </w:r>
      <w:r w:rsidR="007B5699">
        <w:t xml:space="preserve">. </w:t>
      </w:r>
      <w:r w:rsidR="008F575F" w:rsidRPr="00D340BF">
        <w:t>Volunteers will be able to provide their contact details on the study website and join the study either using conventional paper-based consent procedures or supplemented, where appropriate, with an online consent tool on the study</w:t>
      </w:r>
      <w:r w:rsidR="008F575F">
        <w:t>.</w:t>
      </w:r>
    </w:p>
    <w:p w14:paraId="575CB237" w14:textId="068768B3" w:rsidR="003A7A7F" w:rsidRPr="009F392C" w:rsidRDefault="007E0DF3" w:rsidP="00EF5657">
      <w:pPr>
        <w:pStyle w:val="BodyText"/>
      </w:pPr>
      <w:r w:rsidRPr="009F392C">
        <w:t>Drawing on relevant guidance of good practice, the online consent tool to be used is aligned with the key princip</w:t>
      </w:r>
      <w:r w:rsidR="00457C3E" w:rsidRPr="009F392C">
        <w:t>le</w:t>
      </w:r>
      <w:r w:rsidRPr="009F392C">
        <w:t>s in the sponsor guidance, HRA and MHRA statements on consent by electronic methods and advice of other relevant stakeholders. The online consent tool for submitting participants allows for a secure onward despatch to a secure</w:t>
      </w:r>
      <w:r w:rsidR="007E5214" w:rsidRPr="009F392C">
        <w:t xml:space="preserve"> </w:t>
      </w:r>
      <w:r w:rsidRPr="009F392C">
        <w:t>database. Access to this database and data will be closely monitored with limited users. Joining of the participant will require a minimum amount of information allowing unambiguous identification of the participant: name, date of birth, postcode and standard drop-down lists for symptoms and ethnicity. Should further identification of the participant be required, this can be undertaken by the healthcare professional responsible for blood sampling. Linkage with the NHS allowing access to medical records will allow further verification of the participant’s medical history. Depending on personal preference, the participant can then receive a printed or digital copy of the consent form.</w:t>
      </w:r>
    </w:p>
    <w:p w14:paraId="7ACA60FE" w14:textId="5315FDF3" w:rsidR="00FF2DC5" w:rsidRPr="003279FA" w:rsidRDefault="00577725" w:rsidP="009739DD">
      <w:pPr>
        <w:pStyle w:val="Heading2"/>
        <w:jc w:val="both"/>
        <w:rPr>
          <w:color w:val="000000" w:themeColor="text1"/>
        </w:rPr>
      </w:pPr>
      <w:bookmarkStart w:id="108" w:name="Xf55e0cc7fbd5006bb214fbfbf132f436f8b3e88"/>
      <w:bookmarkStart w:id="109" w:name="_Toc156378701"/>
      <w:bookmarkStart w:id="110" w:name="_Toc181256577"/>
      <w:r w:rsidRPr="7706D474">
        <w:rPr>
          <w:color w:val="000000" w:themeColor="text1"/>
        </w:rPr>
        <w:lastRenderedPageBreak/>
        <w:t>Repeat sampling after recovery from critical illness</w:t>
      </w:r>
      <w:bookmarkEnd w:id="108"/>
      <w:bookmarkEnd w:id="109"/>
      <w:bookmarkEnd w:id="110"/>
    </w:p>
    <w:p w14:paraId="40F7EF6D" w14:textId="316A59E2" w:rsidR="00FF2DC5" w:rsidRPr="003279FA" w:rsidRDefault="00611F1A" w:rsidP="00A61CA6">
      <w:pPr>
        <w:pStyle w:val="BodyText"/>
      </w:pPr>
      <w:r w:rsidRPr="003279FA">
        <w:t>A small sub-study</w:t>
      </w:r>
      <w:r w:rsidR="00577725" w:rsidRPr="003279FA">
        <w:t xml:space="preserve"> will focus on the function of isolated and cultured immune cells exposed to inflammatory and other stimuli. Putative cellular functions of disease-associated genes will be investigated and compared to healthy individuals who do not have the susceptibility genotype. Immune cells, including monocytes, monocyte-derived macrophages, </w:t>
      </w:r>
      <w:proofErr w:type="gramStart"/>
      <w:r w:rsidR="00577725" w:rsidRPr="003279FA">
        <w:t>neutrophils</w:t>
      </w:r>
      <w:proofErr w:type="gramEnd"/>
      <w:r w:rsidR="00577725" w:rsidRPr="003279FA">
        <w:t xml:space="preserve"> and lymphocytes will be isolated from peripheral blood and studied immediately or following culture. Gene expression, protein synthesis and degradation, cytokine release and other functional studies will be measured in immune cells from cases and age- and sex- matched controls.</w:t>
      </w:r>
    </w:p>
    <w:p w14:paraId="02A90BE2" w14:textId="1EAB5B00" w:rsidR="00FF2DC5" w:rsidRPr="00A61CA6" w:rsidRDefault="00577725" w:rsidP="00A61CA6">
      <w:pPr>
        <w:pStyle w:val="BodyText"/>
      </w:pPr>
      <w:r w:rsidRPr="00A61CA6">
        <w:t xml:space="preserve">Patients who participated, with appropriate consent, in this study or in a previous study of host genetic determinants of outcome of infection or injury, may be invited to provide additional samples. In these </w:t>
      </w:r>
      <w:r w:rsidR="00611F1A" w:rsidRPr="00A61CA6">
        <w:t>cases,</w:t>
      </w:r>
      <w:r w:rsidRPr="00A61CA6">
        <w:t xml:space="preserve"> a research nurse will send the patient a formal letter requesting further participation. Patients will be invited to contact the study administrators by mail, telephone, or email, after which a patient information sheet and consent form will be sent to each respondent by post. Respondents will be invited to attend for blood sampling.</w:t>
      </w:r>
    </w:p>
    <w:p w14:paraId="2A398411" w14:textId="77777777" w:rsidR="00FF2DC5" w:rsidRPr="00A61CA6" w:rsidRDefault="00577725" w:rsidP="00A61CA6">
      <w:pPr>
        <w:pStyle w:val="BodyText"/>
      </w:pPr>
      <w:proofErr w:type="gramStart"/>
      <w:r w:rsidRPr="00A61CA6">
        <w:t>In order to</w:t>
      </w:r>
      <w:proofErr w:type="gramEnd"/>
      <w:r w:rsidRPr="00A61CA6">
        <w:t xml:space="preserve"> monitor the potential distress caused by attempting to contact patients when it is inappropriate to do so, for example in the event that the patient has died since discharge from hospital, a log of inappropriate contact attempts will be kept.</w:t>
      </w:r>
    </w:p>
    <w:p w14:paraId="7B8C4509" w14:textId="77777777" w:rsidR="00FF2DC5" w:rsidRPr="00A61CA6" w:rsidRDefault="00577725" w:rsidP="00A61CA6">
      <w:pPr>
        <w:pStyle w:val="BodyText"/>
      </w:pPr>
      <w:r w:rsidRPr="00A61CA6">
        <w:t>All blood samples will be obtained by an experienced phlebotomist. Each donation will last for a maximum of 1 hour. Consent will be obtained before each donation, so the patient will be re-recruited at each visit. Patients will not donate blood more often than every 3 months. In the case of patients who have not already explicitly consented to be contacted by the research team, the clinical team in the recruiting hospital (or a research nurse based in the recruiting hospital) will contact the patient’s family doctor to confirm that it is appropriate to approach the patient directly.</w:t>
      </w:r>
    </w:p>
    <w:p w14:paraId="4F415857" w14:textId="53EA7F54" w:rsidR="00FF2DC5" w:rsidRPr="007F47D0" w:rsidRDefault="00577725" w:rsidP="007F47D0">
      <w:pPr>
        <w:pStyle w:val="BodyText"/>
      </w:pPr>
      <w:r w:rsidRPr="007F47D0">
        <w:t>Participants presenting for repeat sampling will be fully recovered, otherwise healthy individuals with no contraindications to blood donation, including:</w:t>
      </w:r>
    </w:p>
    <w:p w14:paraId="18E6D501" w14:textId="05CF61AE" w:rsidR="00FF2DC5" w:rsidRPr="003279FA" w:rsidRDefault="00577725" w:rsidP="008949CD">
      <w:pPr>
        <w:pStyle w:val="BasicBulletList"/>
        <w:numPr>
          <w:ilvl w:val="0"/>
          <w:numId w:val="7"/>
        </w:numPr>
      </w:pPr>
      <w:r>
        <w:t>Infection with any blood borne diseases (</w:t>
      </w:r>
      <w:r w:rsidR="00DE4C4C">
        <w:t>e.g.,</w:t>
      </w:r>
      <w:r>
        <w:t xml:space="preserve"> HIV, Hepatitis B or Hepatitis C)</w:t>
      </w:r>
    </w:p>
    <w:p w14:paraId="6A864135" w14:textId="77777777" w:rsidR="00FF2DC5" w:rsidRPr="003279FA" w:rsidRDefault="00577725" w:rsidP="008949CD">
      <w:pPr>
        <w:pStyle w:val="BasicBulletList"/>
        <w:numPr>
          <w:ilvl w:val="0"/>
          <w:numId w:val="7"/>
        </w:numPr>
      </w:pPr>
      <w:r>
        <w:t>Previous or current intravenous drug abuse</w:t>
      </w:r>
    </w:p>
    <w:p w14:paraId="3B8070C9" w14:textId="77777777" w:rsidR="00FF2DC5" w:rsidRPr="003279FA" w:rsidRDefault="00577725" w:rsidP="008949CD">
      <w:pPr>
        <w:pStyle w:val="BasicBulletList"/>
        <w:numPr>
          <w:ilvl w:val="0"/>
          <w:numId w:val="7"/>
        </w:numPr>
      </w:pPr>
      <w:r>
        <w:t>Current anaemia</w:t>
      </w:r>
    </w:p>
    <w:p w14:paraId="4973A363" w14:textId="77777777" w:rsidR="00FF2DC5" w:rsidRPr="003279FA" w:rsidRDefault="00577725" w:rsidP="008949CD">
      <w:pPr>
        <w:pStyle w:val="BasicBulletList"/>
        <w:numPr>
          <w:ilvl w:val="0"/>
          <w:numId w:val="7"/>
        </w:numPr>
      </w:pPr>
      <w:r>
        <w:t>Blood clotting disorders</w:t>
      </w:r>
    </w:p>
    <w:p w14:paraId="744FFB08" w14:textId="77777777" w:rsidR="00FF2DC5" w:rsidRPr="003279FA" w:rsidRDefault="00577725" w:rsidP="008949CD">
      <w:pPr>
        <w:pStyle w:val="BasicBulletList"/>
        <w:numPr>
          <w:ilvl w:val="0"/>
          <w:numId w:val="7"/>
        </w:numPr>
      </w:pPr>
      <w:r>
        <w:t>Current anticoagulant (blood thinning) drug therapy</w:t>
      </w:r>
    </w:p>
    <w:p w14:paraId="3B5E5B97" w14:textId="77777777" w:rsidR="00FF2DC5" w:rsidRPr="003279FA" w:rsidRDefault="00577725" w:rsidP="008949CD">
      <w:pPr>
        <w:pStyle w:val="BasicBulletList"/>
        <w:numPr>
          <w:ilvl w:val="0"/>
          <w:numId w:val="7"/>
        </w:numPr>
      </w:pPr>
      <w:r>
        <w:t>Under the age of 16, or unable to give informed consent</w:t>
      </w:r>
    </w:p>
    <w:p w14:paraId="2DEC8919" w14:textId="1E0C9DBF" w:rsidR="00FF2DC5" w:rsidRPr="003279FA" w:rsidRDefault="00577725" w:rsidP="008949CD">
      <w:pPr>
        <w:pStyle w:val="BasicBulletList"/>
        <w:numPr>
          <w:ilvl w:val="0"/>
          <w:numId w:val="7"/>
        </w:numPr>
      </w:pPr>
      <w:r>
        <w:t>History of donations to the blood transfusion service (or any other donation) within the last 12 weeks</w:t>
      </w:r>
    </w:p>
    <w:p w14:paraId="6654445E" w14:textId="2418733F" w:rsidR="00FF2DC5" w:rsidRPr="003279FA" w:rsidRDefault="00577725" w:rsidP="009739DD">
      <w:pPr>
        <w:pStyle w:val="Heading3"/>
        <w:jc w:val="both"/>
        <w:rPr>
          <w:color w:val="000000" w:themeColor="text1"/>
        </w:rPr>
      </w:pPr>
      <w:bookmarkStart w:id="111" w:name="repeatsamplevols"/>
      <w:bookmarkStart w:id="112" w:name="_Toc156378702"/>
      <w:bookmarkStart w:id="113" w:name="_Toc181256578"/>
      <w:r w:rsidRPr="7706D474">
        <w:rPr>
          <w:color w:val="000000" w:themeColor="text1"/>
        </w:rPr>
        <w:lastRenderedPageBreak/>
        <w:t>Repeat sampling volumes</w:t>
      </w:r>
      <w:bookmarkEnd w:id="111"/>
      <w:bookmarkEnd w:id="112"/>
      <w:bookmarkEnd w:id="113"/>
    </w:p>
    <w:p w14:paraId="49CFC482" w14:textId="77777777" w:rsidR="00FF2DC5" w:rsidRPr="003279FA" w:rsidRDefault="00577725" w:rsidP="00A61CA6">
      <w:pPr>
        <w:pStyle w:val="BodyText"/>
      </w:pPr>
      <w:r w:rsidRPr="003279FA">
        <w:t>Depending on the participant’s weight, the following maximum volumes of blood will be obtained, with a minimum interval of 3 months between samples:</w:t>
      </w:r>
    </w:p>
    <w:p w14:paraId="42B27A74" w14:textId="6A296173" w:rsidR="00FF2DC5" w:rsidRPr="003279FA" w:rsidRDefault="004B7A27" w:rsidP="008949CD">
      <w:pPr>
        <w:pStyle w:val="BasicBulletList"/>
        <w:numPr>
          <w:ilvl w:val="0"/>
          <w:numId w:val="7"/>
        </w:numPr>
      </w:pPr>
      <w:r>
        <w:t>&gt;</w:t>
      </w:r>
      <w:r w:rsidR="00577725">
        <w:t>40kg: 240mls (6.0mls/kg)</w:t>
      </w:r>
    </w:p>
    <w:p w14:paraId="54109C11" w14:textId="38EFDFA1" w:rsidR="00FF2DC5" w:rsidRPr="003279FA" w:rsidRDefault="00577725" w:rsidP="008949CD">
      <w:pPr>
        <w:pStyle w:val="BasicBulletList"/>
        <w:numPr>
          <w:ilvl w:val="0"/>
          <w:numId w:val="7"/>
        </w:numPr>
      </w:pPr>
      <w:r>
        <w:t>20</w:t>
      </w:r>
      <w:r w:rsidR="00AC672E">
        <w:t>–</w:t>
      </w:r>
      <w:r>
        <w:t>40kg: 80mls (4.0mls/kg)</w:t>
      </w:r>
    </w:p>
    <w:p w14:paraId="1C400F8B" w14:textId="77777777" w:rsidR="00FF2DC5" w:rsidRPr="003279FA" w:rsidRDefault="00577725" w:rsidP="00A61CA6">
      <w:pPr>
        <w:pStyle w:val="BodyText"/>
      </w:pPr>
      <w:r w:rsidRPr="003279FA">
        <w:t>Where consent is obtained to do so, each participant’s family doctor will be informed of their participation in this part of the study.</w:t>
      </w:r>
    </w:p>
    <w:p w14:paraId="60A11964" w14:textId="696988E5" w:rsidR="00FF2DC5" w:rsidRPr="007F47D0" w:rsidRDefault="00577725" w:rsidP="007F47D0">
      <w:pPr>
        <w:pStyle w:val="Heading3"/>
      </w:pPr>
      <w:bookmarkStart w:id="114" w:name="recurrent-sampling"/>
      <w:bookmarkStart w:id="115" w:name="_Toc156378703"/>
      <w:bookmarkStart w:id="116" w:name="_Toc181256579"/>
      <w:r w:rsidRPr="7706D474">
        <w:t>Recurrent sampling</w:t>
      </w:r>
      <w:bookmarkEnd w:id="114"/>
      <w:bookmarkEnd w:id="115"/>
      <w:bookmarkEnd w:id="116"/>
    </w:p>
    <w:p w14:paraId="1F57FFA0" w14:textId="0D7E5B26" w:rsidR="00FF2DC5" w:rsidRPr="007F47D0" w:rsidRDefault="00577725" w:rsidP="00A61CA6">
      <w:pPr>
        <w:pStyle w:val="BodyText"/>
      </w:pPr>
      <w:r w:rsidRPr="007F47D0">
        <w:t>Each consenting patient will donate a single sample of blood. Every effort will be made to obtain the maximum possible information from this sample. In some cases, it is possible that additional samples may be required to confirm initial findings, replace inadequate samples, or study the cellular effects of genetic variants. Patients who wish to continue to contribute to this part of the study may therefore be given the opportunity to donate further samples, subject to the strict volume and frequency limits specified above (</w:t>
      </w:r>
      <w:hyperlink w:anchor="repeatsamplevols">
        <w:r w:rsidRPr="007F47D0">
          <w:rPr>
            <w:rStyle w:val="Hyperlink"/>
            <w:b w:val="0"/>
            <w:bCs w:val="0"/>
            <w:color w:val="auto"/>
            <w:sz w:val="22"/>
            <w:szCs w:val="20"/>
          </w:rPr>
          <w:t>5.8.1</w:t>
        </w:r>
      </w:hyperlink>
      <w:r w:rsidRPr="007F47D0">
        <w:t xml:space="preserve">). New consent will be obtained before each subsequent donation. Each donation will comply with the strict volume and frequency limits specified above. It is anticipated that most subjects will donate less than 3 times; however, in some cases more donations may be desirable to study unusual genotypes or cellular phenotypes. For this </w:t>
      </w:r>
      <w:r w:rsidR="00611F1A" w:rsidRPr="007F47D0">
        <w:t>reason,</w:t>
      </w:r>
      <w:r w:rsidRPr="007F47D0">
        <w:t xml:space="preserve"> we have not specified an upper limit on the number of times a volunteer can present for repeat sampling. The responsible ethics committee will be informed </w:t>
      </w:r>
      <w:proofErr w:type="gramStart"/>
      <w:r w:rsidRPr="007F47D0">
        <w:t>in the event that</w:t>
      </w:r>
      <w:proofErr w:type="gramEnd"/>
      <w:r w:rsidRPr="007F47D0">
        <w:t xml:space="preserve"> any individual patient donates blood for a period of 5 years or more.</w:t>
      </w:r>
    </w:p>
    <w:p w14:paraId="0DF65EFE" w14:textId="21DE6F84" w:rsidR="00FF2DC5" w:rsidRPr="007F47D0" w:rsidRDefault="00577725" w:rsidP="007F47D0">
      <w:pPr>
        <w:pStyle w:val="Heading2"/>
      </w:pPr>
      <w:bookmarkStart w:id="117" w:name="withdrawal-from-the-study"/>
      <w:bookmarkStart w:id="118" w:name="_Toc156378704"/>
      <w:bookmarkStart w:id="119" w:name="_Toc181256580"/>
      <w:r w:rsidRPr="7706D474">
        <w:t>Withdrawal from the study</w:t>
      </w:r>
      <w:bookmarkEnd w:id="117"/>
      <w:bookmarkEnd w:id="118"/>
      <w:bookmarkEnd w:id="119"/>
    </w:p>
    <w:p w14:paraId="3FA6DCC9" w14:textId="77777777" w:rsidR="00FF2DC5" w:rsidRPr="003279FA" w:rsidRDefault="00577725" w:rsidP="00A61CA6">
      <w:pPr>
        <w:pStyle w:val="BodyText"/>
      </w:pPr>
      <w:r w:rsidRPr="003279FA">
        <w:t>Participants are freely able to decline participation in this study or to withdraw from participation at any point without suffering any implied or explicit disadvantage. All patients will be treated according to standard practice regardless of whether they participate.</w:t>
      </w:r>
    </w:p>
    <w:p w14:paraId="7F70F2CB" w14:textId="77777777" w:rsidR="00894A2B" w:rsidRPr="00B60C83" w:rsidRDefault="00894A2B" w:rsidP="00B60C83">
      <w:pPr>
        <w:pStyle w:val="BodyText"/>
      </w:pPr>
      <w:r w:rsidRPr="00B60C83">
        <w:t>The following options of withdrawal will be made available to participants:</w:t>
      </w:r>
    </w:p>
    <w:p w14:paraId="2B1F458A" w14:textId="726D113B" w:rsidR="00894A2B" w:rsidRPr="003279FA" w:rsidRDefault="00894A2B" w:rsidP="008949CD">
      <w:pPr>
        <w:pStyle w:val="BasicNumberedList"/>
        <w:numPr>
          <w:ilvl w:val="0"/>
          <w:numId w:val="4"/>
        </w:numPr>
      </w:pPr>
      <w:r w:rsidRPr="003279FA">
        <w:t>Partial withdrawal. Data WILL continue to be updated and used for research, but no further contact will be made with the participant</w:t>
      </w:r>
    </w:p>
    <w:p w14:paraId="69BB9945" w14:textId="16391B0F" w:rsidR="00894A2B" w:rsidRPr="003279FA" w:rsidRDefault="00894A2B" w:rsidP="00B60C83">
      <w:pPr>
        <w:pStyle w:val="BasicNumberedList"/>
      </w:pPr>
      <w:r w:rsidRPr="003279FA">
        <w:t>Full withdrawal</w:t>
      </w:r>
    </w:p>
    <w:p w14:paraId="5CF3D99C" w14:textId="7D4E1B62" w:rsidR="00894A2B" w:rsidRPr="000622D4" w:rsidRDefault="000622D4" w:rsidP="008949CD">
      <w:pPr>
        <w:pStyle w:val="BasicBulletList"/>
        <w:numPr>
          <w:ilvl w:val="1"/>
          <w:numId w:val="7"/>
        </w:numPr>
      </w:pPr>
      <w:r>
        <w:t>N</w:t>
      </w:r>
      <w:r w:rsidR="00894A2B" w:rsidRPr="000622D4">
        <w:t>o further contact will be made with the participant</w:t>
      </w:r>
    </w:p>
    <w:p w14:paraId="11F024F2" w14:textId="42071407" w:rsidR="00894A2B" w:rsidRPr="000622D4" w:rsidRDefault="000622D4" w:rsidP="008949CD">
      <w:pPr>
        <w:pStyle w:val="BasicBulletList"/>
        <w:numPr>
          <w:ilvl w:val="1"/>
          <w:numId w:val="7"/>
        </w:numPr>
      </w:pPr>
      <w:r>
        <w:t>D</w:t>
      </w:r>
      <w:r w:rsidR="00894A2B" w:rsidRPr="000622D4">
        <w:t>ata will not be updated from health records</w:t>
      </w:r>
    </w:p>
    <w:p w14:paraId="2957E2F6" w14:textId="72E3AC5A" w:rsidR="4DBB89D7" w:rsidRPr="000622D4" w:rsidRDefault="4DBB89D7" w:rsidP="008949CD">
      <w:pPr>
        <w:pStyle w:val="BasicBulletList"/>
        <w:numPr>
          <w:ilvl w:val="1"/>
          <w:numId w:val="7"/>
        </w:numPr>
      </w:pPr>
      <w:r w:rsidRPr="000622D4">
        <w:t>Personal identifiable information</w:t>
      </w:r>
      <w:r w:rsidR="00BC4252">
        <w:t xml:space="preserve"> and genetic data</w:t>
      </w:r>
      <w:r w:rsidRPr="000622D4">
        <w:t xml:space="preserve"> will be deleted</w:t>
      </w:r>
      <w:r w:rsidR="00152CFD">
        <w:t xml:space="preserve"> from the GenOMICC study computer records</w:t>
      </w:r>
      <w:r w:rsidR="00BC4252">
        <w:t>, and</w:t>
      </w:r>
      <w:r w:rsidR="4B535C92" w:rsidRPr="000622D4">
        <w:t xml:space="preserve"> the</w:t>
      </w:r>
      <w:r w:rsidRPr="000622D4">
        <w:t xml:space="preserve"> DNA sample will be </w:t>
      </w:r>
      <w:r w:rsidR="53140C0F" w:rsidRPr="000622D4">
        <w:t>destroyed</w:t>
      </w:r>
    </w:p>
    <w:p w14:paraId="21338E04" w14:textId="7A914567" w:rsidR="00F45DB8" w:rsidRPr="000622D4" w:rsidRDefault="00F45DB8" w:rsidP="008949CD">
      <w:pPr>
        <w:pStyle w:val="BasicBulletList"/>
        <w:numPr>
          <w:ilvl w:val="1"/>
          <w:numId w:val="7"/>
        </w:numPr>
      </w:pPr>
      <w:r w:rsidRPr="00F45DB8">
        <w:lastRenderedPageBreak/>
        <w:t>De-identified information</w:t>
      </w:r>
      <w:r>
        <w:t>,</w:t>
      </w:r>
      <w:r w:rsidRPr="00F45DB8">
        <w:t xml:space="preserve"> and genetic data that is already included in analyses</w:t>
      </w:r>
      <w:r w:rsidR="00BC3E2D">
        <w:t>,</w:t>
      </w:r>
      <w:r w:rsidRPr="00F45DB8">
        <w:t xml:space="preserve"> will persist in the record of those analyses and in the aggregated results</w:t>
      </w:r>
    </w:p>
    <w:p w14:paraId="35D5EF9D" w14:textId="0F537D4A" w:rsidR="71FC3310" w:rsidRPr="000622D4" w:rsidRDefault="71FC3310" w:rsidP="00572A93">
      <w:pPr>
        <w:pStyle w:val="BasicBulletList"/>
        <w:numPr>
          <w:ilvl w:val="0"/>
          <w:numId w:val="0"/>
        </w:numPr>
      </w:pPr>
      <w:r w:rsidRPr="000622D4">
        <w:t xml:space="preserve">A record of participation in the study will remain with the original records </w:t>
      </w:r>
      <w:r w:rsidR="6A702EFB" w:rsidRPr="000622D4">
        <w:t>at</w:t>
      </w:r>
      <w:r w:rsidR="2C7D0564" w:rsidRPr="000622D4">
        <w:t xml:space="preserve"> the NHS research site</w:t>
      </w:r>
      <w:r w:rsidR="00DE4C4C" w:rsidRPr="000622D4">
        <w:t>.</w:t>
      </w:r>
    </w:p>
    <w:p w14:paraId="7B2BBE75" w14:textId="3669A0F1" w:rsidR="00FF2DC5" w:rsidRPr="007F47D0" w:rsidRDefault="00577725" w:rsidP="007F47D0">
      <w:pPr>
        <w:pStyle w:val="Heading2"/>
      </w:pPr>
      <w:bookmarkStart w:id="120" w:name="statistical-analysis"/>
      <w:bookmarkStart w:id="121" w:name="_Toc156378705"/>
      <w:bookmarkStart w:id="122" w:name="_Toc181256581"/>
      <w:r w:rsidRPr="7706D474">
        <w:t>Statistical analysis</w:t>
      </w:r>
      <w:bookmarkEnd w:id="120"/>
      <w:bookmarkEnd w:id="121"/>
      <w:bookmarkEnd w:id="122"/>
    </w:p>
    <w:p w14:paraId="58367B26" w14:textId="77777777" w:rsidR="00FF2DC5" w:rsidRPr="007F47D0" w:rsidRDefault="00577725" w:rsidP="00A61CA6">
      <w:pPr>
        <w:pStyle w:val="BodyText"/>
      </w:pPr>
      <w:r w:rsidRPr="007F47D0">
        <w:t>Initial genome-wide and focused gene (using a longlist of immune-regulated genes) analyses will use standard protocols adjusting for any population structure. The models will incorporate clinical and environmental determinants of disease severity.</w:t>
      </w:r>
    </w:p>
    <w:p w14:paraId="3D1F4955" w14:textId="4672E0EE" w:rsidR="00FF2DC5" w:rsidRPr="007F47D0" w:rsidRDefault="00577725" w:rsidP="007F47D0">
      <w:pPr>
        <w:pStyle w:val="Heading1"/>
      </w:pPr>
      <w:bookmarkStart w:id="123" w:name="study-management"/>
      <w:bookmarkStart w:id="124" w:name="_Toc156378706"/>
      <w:bookmarkStart w:id="125" w:name="_Toc181256582"/>
      <w:r w:rsidRPr="7706D474">
        <w:t>Study management</w:t>
      </w:r>
      <w:bookmarkEnd w:id="123"/>
      <w:bookmarkEnd w:id="124"/>
      <w:bookmarkEnd w:id="125"/>
    </w:p>
    <w:p w14:paraId="0606B0A5" w14:textId="5E782DCE" w:rsidR="00FF2DC5" w:rsidRPr="003279FA" w:rsidRDefault="00577725" w:rsidP="00E33E18">
      <w:pPr>
        <w:pStyle w:val="Heading2"/>
      </w:pPr>
      <w:bookmarkStart w:id="126" w:name="data-management"/>
      <w:bookmarkStart w:id="127" w:name="_Toc156378707"/>
      <w:bookmarkStart w:id="128" w:name="_Toc181256583"/>
      <w:r>
        <w:t xml:space="preserve">Data </w:t>
      </w:r>
      <w:bookmarkEnd w:id="126"/>
      <w:r w:rsidR="00E33E18">
        <w:t>collection</w:t>
      </w:r>
      <w:bookmarkEnd w:id="127"/>
      <w:bookmarkEnd w:id="128"/>
    </w:p>
    <w:p w14:paraId="1C6CDC6C" w14:textId="7294C312" w:rsidR="00E33E18" w:rsidRDefault="00E33E18" w:rsidP="00EF5657">
      <w:pPr>
        <w:pStyle w:val="BodyText"/>
      </w:pPr>
      <w:r w:rsidRPr="00BF1A80">
        <w:t>Clinical and laboratory data will be collected throughout the study according to local resources. Clinical data will be collected locally and CRFs completed by study staff. For control volunteers in the community, they will be able to provide their contact details on the study website and join the study either using conventional paper-based consent procedures or supplemented, where appropriate, with an online consent tool on the study website. The data will be linked with national regional and other (</w:t>
      </w:r>
      <w:r w:rsidR="00DE4C4C" w:rsidRPr="00BF1A80">
        <w:t>e.g.,</w:t>
      </w:r>
      <w:r w:rsidRPr="00BF1A80">
        <w:t xml:space="preserve"> other research studies) data sources, and longitudinal life course data will be collected. Data will be made available to researchers in a de-identified format.</w:t>
      </w:r>
      <w:r w:rsidRPr="00E33E18">
        <w:t> </w:t>
      </w:r>
    </w:p>
    <w:p w14:paraId="169F99FF" w14:textId="4EF83E46" w:rsidR="00417FCE" w:rsidRPr="00E33E18" w:rsidRDefault="00417FCE" w:rsidP="00EF5657">
      <w:pPr>
        <w:pStyle w:val="BodyText"/>
      </w:pPr>
      <w:r w:rsidRPr="00572A93">
        <w:t>Investigator site files and associated paperwork relating to participation in GenOMICC at NHS research sites may be held in paper format or electronically by secure means on an NHS computer.</w:t>
      </w:r>
    </w:p>
    <w:p w14:paraId="2D4243CD" w14:textId="1C0248A2" w:rsidR="00E33E18" w:rsidRPr="00E33E18" w:rsidRDefault="00E33E18" w:rsidP="00E33E18">
      <w:pPr>
        <w:pStyle w:val="Heading2"/>
      </w:pPr>
      <w:bookmarkStart w:id="129" w:name="_Toc156378708"/>
      <w:bookmarkStart w:id="130" w:name="_Toc181256584"/>
      <w:r>
        <w:t>Data Management</w:t>
      </w:r>
      <w:bookmarkEnd w:id="129"/>
      <w:bookmarkEnd w:id="130"/>
    </w:p>
    <w:p w14:paraId="49B35699" w14:textId="72EA2A7C" w:rsidR="00FF2DC5" w:rsidRPr="007F47D0" w:rsidRDefault="00577725" w:rsidP="00A61CA6">
      <w:pPr>
        <w:pStyle w:val="BodyText"/>
      </w:pPr>
      <w:r w:rsidRPr="007F47D0">
        <w:t xml:space="preserve">When available, data collected by staff at each site will be submitted electronically to a </w:t>
      </w:r>
      <w:r w:rsidR="006D3F32" w:rsidRPr="007F47D0">
        <w:t>secure</w:t>
      </w:r>
      <w:r w:rsidRPr="007F47D0">
        <w:t xml:space="preserve"> online database.</w:t>
      </w:r>
      <w:r w:rsidR="007517DC" w:rsidRPr="007F47D0">
        <w:t xml:space="preserve"> D</w:t>
      </w:r>
      <w:r w:rsidRPr="007F47D0">
        <w:t xml:space="preserve">ata will be entered by study staff where possible, </w:t>
      </w:r>
      <w:proofErr w:type="gramStart"/>
      <w:r w:rsidRPr="007F47D0">
        <w:t>in order to</w:t>
      </w:r>
      <w:proofErr w:type="gramEnd"/>
      <w:r w:rsidRPr="007F47D0">
        <w:t xml:space="preserve"> minimise the workload on site clinical staff. Quality checks will be built into the data management system and there will be quality control checks of critical data points entered into the CRFs to ensure standardisation and validity of the data collected. The study will adhere to </w:t>
      </w:r>
      <w:r w:rsidR="007069D3" w:rsidRPr="007F47D0">
        <w:t>national and international</w:t>
      </w:r>
      <w:r w:rsidRPr="007F47D0">
        <w:t xml:space="preserve"> data protection regulations. Patients’ identities will be </w:t>
      </w:r>
      <w:proofErr w:type="gramStart"/>
      <w:r w:rsidRPr="007F47D0">
        <w:t>protected</w:t>
      </w:r>
      <w:proofErr w:type="gramEnd"/>
      <w:r w:rsidRPr="007F47D0">
        <w:t xml:space="preserve"> and their information held securely.</w:t>
      </w:r>
    </w:p>
    <w:p w14:paraId="000E0F51" w14:textId="5B96155F" w:rsidR="0055213F" w:rsidRPr="007F47D0" w:rsidRDefault="0055213F" w:rsidP="007F47D0">
      <w:pPr>
        <w:pStyle w:val="BodyText"/>
      </w:pPr>
      <w:r>
        <w:t>Relevant identifiers, including personal identifiers, will be used to link the additional data sources and to allow robust and safe return of any clinically relevant information back into the NHS.</w:t>
      </w:r>
      <w:r w:rsidR="003D643E">
        <w:t xml:space="preserve"> </w:t>
      </w:r>
    </w:p>
    <w:p w14:paraId="366E40D6" w14:textId="2798637D" w:rsidR="00572A2D" w:rsidRPr="007F47D0" w:rsidRDefault="00572A2D" w:rsidP="007F47D0">
      <w:pPr>
        <w:pStyle w:val="BodyText"/>
      </w:pPr>
      <w:r w:rsidRPr="007F47D0">
        <w:t xml:space="preserve">All clinical, genetic and genome sequence data gathered </w:t>
      </w:r>
      <w:proofErr w:type="gramStart"/>
      <w:r w:rsidRPr="007F47D0">
        <w:t>during the course of</w:t>
      </w:r>
      <w:proofErr w:type="gramEnd"/>
      <w:r w:rsidRPr="007F47D0">
        <w:t xml:space="preserve"> this study will be hosted on the GenOMICC study database in a</w:t>
      </w:r>
      <w:r w:rsidR="411555C4" w:rsidRPr="007F47D0">
        <w:t xml:space="preserve"> secure computing environment hosted on the University of Edinburgh servers</w:t>
      </w:r>
      <w:r w:rsidRPr="007F47D0">
        <w:t>. Deidentified and summary-level data will be made available to external investigators</w:t>
      </w:r>
      <w:r w:rsidR="005E4E01" w:rsidRPr="007F47D0">
        <w:t xml:space="preserve"> both directly and through a data analysis platform.</w:t>
      </w:r>
    </w:p>
    <w:p w14:paraId="3EBA243D" w14:textId="77777777" w:rsidR="00572A2D" w:rsidRPr="007F47D0" w:rsidRDefault="0055213F" w:rsidP="007F47D0">
      <w:pPr>
        <w:pStyle w:val="BodyText"/>
      </w:pPr>
      <w:r w:rsidRPr="007F47D0">
        <w:t>Deidentified individual level data will only be shared with other organi</w:t>
      </w:r>
      <w:r w:rsidR="008C10AE" w:rsidRPr="007F47D0">
        <w:t>s</w:t>
      </w:r>
      <w:r w:rsidRPr="007F47D0">
        <w:t>ations that</w:t>
      </w:r>
      <w:r w:rsidR="00363582" w:rsidRPr="007F47D0">
        <w:t xml:space="preserve"> </w:t>
      </w:r>
      <w:r w:rsidRPr="007F47D0">
        <w:t>have Access Review Committee approval.</w:t>
      </w:r>
    </w:p>
    <w:p w14:paraId="060D1F1E" w14:textId="3D4B14C3" w:rsidR="00FF2DC5" w:rsidRPr="007F47D0" w:rsidRDefault="00577725" w:rsidP="007F47D0">
      <w:pPr>
        <w:pStyle w:val="Heading2"/>
      </w:pPr>
      <w:bookmarkStart w:id="131" w:name="medical-management-and-safety-reporting"/>
      <w:bookmarkStart w:id="132" w:name="_Toc156378709"/>
      <w:bookmarkStart w:id="133" w:name="_Toc181256585"/>
      <w:r w:rsidRPr="7706D474">
        <w:lastRenderedPageBreak/>
        <w:t>Medical management and safety reporting</w:t>
      </w:r>
      <w:bookmarkEnd w:id="131"/>
      <w:bookmarkEnd w:id="132"/>
      <w:bookmarkEnd w:id="133"/>
    </w:p>
    <w:p w14:paraId="406F650A" w14:textId="6907448C" w:rsidR="00FF2DC5" w:rsidRPr="007F47D0" w:rsidRDefault="00577725" w:rsidP="00A61CA6">
      <w:pPr>
        <w:pStyle w:val="BodyText"/>
      </w:pPr>
      <w:r>
        <w:t xml:space="preserve">Medical management will be according to standard of care at the treating site and not a part of this research protocol. Research </w:t>
      </w:r>
      <w:r w:rsidR="7358A9F3" w:rsidRPr="00572A93">
        <w:t>activity involves</w:t>
      </w:r>
      <w:r w:rsidRPr="00572A93">
        <w:t xml:space="preserve"> only</w:t>
      </w:r>
      <w:r>
        <w:t xml:space="preserve"> collection of clinical information and specimens; hence adverse event reporting is not applicable as there is no intervention.</w:t>
      </w:r>
    </w:p>
    <w:p w14:paraId="0C8411BE" w14:textId="185793C5" w:rsidR="00FF2DC5" w:rsidRPr="007F47D0" w:rsidRDefault="00577725" w:rsidP="007F47D0">
      <w:pPr>
        <w:pStyle w:val="Heading2"/>
      </w:pPr>
      <w:bookmarkStart w:id="134" w:name="data-and-materials-access-committee"/>
      <w:bookmarkStart w:id="135" w:name="_Toc156378710"/>
      <w:bookmarkStart w:id="136" w:name="_Toc181256586"/>
      <w:r w:rsidRPr="7706D474">
        <w:t>Data and materials access committee</w:t>
      </w:r>
      <w:bookmarkEnd w:id="134"/>
      <w:bookmarkEnd w:id="135"/>
      <w:bookmarkEnd w:id="136"/>
    </w:p>
    <w:p w14:paraId="41A96916" w14:textId="17781A5A" w:rsidR="00FF2DC5" w:rsidRPr="007F47D0" w:rsidRDefault="00577725" w:rsidP="00A61CA6">
      <w:pPr>
        <w:pStyle w:val="BodyText"/>
      </w:pPr>
      <w:r>
        <w:t xml:space="preserve">The data and materials access committee will control all requests for access to protected samples and data. The committee will comprise one representative from each contributing region, and representatives from the core study team. The committee will meet by teleconference at 6 monthly </w:t>
      </w:r>
      <w:proofErr w:type="gramStart"/>
      <w:r>
        <w:t>intervals,</w:t>
      </w:r>
      <w:r w:rsidR="0B40A09E">
        <w:t xml:space="preserve"> </w:t>
      </w:r>
      <w:r>
        <w:t>and</w:t>
      </w:r>
      <w:proofErr w:type="gramEnd"/>
      <w:r>
        <w:t xml:space="preserve"> will consider extraordinary requests out of cycle by email where the committee chair deems it appropriate. All requests for materials and protected data must be approved by a majority vote of this committee.</w:t>
      </w:r>
    </w:p>
    <w:p w14:paraId="1B313A46" w14:textId="4350A4B3" w:rsidR="00FF2DC5" w:rsidRPr="007F47D0" w:rsidRDefault="00577725" w:rsidP="007F47D0">
      <w:pPr>
        <w:pStyle w:val="Heading2"/>
      </w:pPr>
      <w:bookmarkStart w:id="137" w:name="protected-data-and-materials"/>
      <w:bookmarkStart w:id="138" w:name="_Toc156378711"/>
      <w:bookmarkStart w:id="139" w:name="_Toc181256587"/>
      <w:r w:rsidRPr="7706D474">
        <w:t>Protected data and materials</w:t>
      </w:r>
      <w:bookmarkEnd w:id="137"/>
      <w:bookmarkEnd w:id="138"/>
      <w:bookmarkEnd w:id="139"/>
    </w:p>
    <w:p w14:paraId="4A955BA2" w14:textId="77777777" w:rsidR="00FF2DC5" w:rsidRPr="007F47D0" w:rsidRDefault="00577725" w:rsidP="00A61CA6">
      <w:pPr>
        <w:pStyle w:val="BodyText"/>
      </w:pPr>
      <w:r w:rsidRPr="007F47D0">
        <w:t>Protected data refers to all genotype-level data from all studies, and clinical data relating to individual patients. All samples acquired in the course of this work will be considered protected materials.</w:t>
      </w:r>
    </w:p>
    <w:p w14:paraId="5EE92546" w14:textId="73DE21AD" w:rsidR="00FF2DC5" w:rsidRPr="007F47D0" w:rsidRDefault="00577725" w:rsidP="007F47D0">
      <w:pPr>
        <w:pStyle w:val="Heading2"/>
      </w:pPr>
      <w:bookmarkStart w:id="140" w:name="materials-access"/>
      <w:bookmarkStart w:id="141" w:name="_Toc156378712"/>
      <w:bookmarkStart w:id="142" w:name="_Toc181256588"/>
      <w:r w:rsidRPr="7706D474">
        <w:t>Materials access</w:t>
      </w:r>
      <w:bookmarkEnd w:id="140"/>
      <w:bookmarkEnd w:id="141"/>
      <w:bookmarkEnd w:id="142"/>
    </w:p>
    <w:p w14:paraId="3147DCF3" w14:textId="77777777" w:rsidR="00FF2DC5" w:rsidRPr="007F47D0" w:rsidRDefault="00577725" w:rsidP="00A61CA6">
      <w:pPr>
        <w:pStyle w:val="BodyText"/>
      </w:pPr>
      <w:r w:rsidRPr="007F47D0">
        <w:t>Access to samples for additional analyses will be governed by the data and materials access committee, in collaboration with the individual recruiting sites.</w:t>
      </w:r>
    </w:p>
    <w:p w14:paraId="2CF42D0C" w14:textId="4B11AC2A" w:rsidR="00FF2DC5" w:rsidRPr="007F47D0" w:rsidRDefault="00577725" w:rsidP="007F47D0">
      <w:pPr>
        <w:pStyle w:val="Heading2"/>
      </w:pPr>
      <w:bookmarkStart w:id="143" w:name="data-access"/>
      <w:bookmarkStart w:id="144" w:name="_Toc156378713"/>
      <w:bookmarkStart w:id="145" w:name="_Toc181256589"/>
      <w:r w:rsidRPr="7706D474">
        <w:t>Data access</w:t>
      </w:r>
      <w:bookmarkEnd w:id="143"/>
      <w:bookmarkEnd w:id="144"/>
      <w:bookmarkEnd w:id="145"/>
    </w:p>
    <w:p w14:paraId="2E70E5E0" w14:textId="77777777" w:rsidR="00FF2DC5" w:rsidRPr="003279FA" w:rsidRDefault="00577725" w:rsidP="00A61CA6">
      <w:pPr>
        <w:pStyle w:val="BodyText"/>
      </w:pPr>
      <w:r w:rsidRPr="003279FA">
        <w:t xml:space="preserve">Access to data for outside investigators will be reviewed by the data </w:t>
      </w:r>
      <w:r w:rsidR="0094125B" w:rsidRPr="003279FA">
        <w:t xml:space="preserve">and materials access committee. </w:t>
      </w:r>
      <w:r w:rsidRPr="003279FA">
        <w:t xml:space="preserve">Linked anonymised data generated </w:t>
      </w:r>
      <w:proofErr w:type="gramStart"/>
      <w:r w:rsidRPr="003279FA">
        <w:t>during the course of</w:t>
      </w:r>
      <w:proofErr w:type="gramEnd"/>
      <w:r w:rsidRPr="003279FA">
        <w:t xml:space="preserve"> these studies may be shared between investigators. Each local site will hold their own data.</w:t>
      </w:r>
      <w:r w:rsidR="00F64155" w:rsidRPr="003279FA">
        <w:t xml:space="preserve"> Genomics England will act as data controller for any data held in the National Genomic Research Library</w:t>
      </w:r>
      <w:r w:rsidR="001E6A18" w:rsidRPr="003279FA">
        <w:t xml:space="preserve"> and access will be granted via an Access Review Committee including patients and the public and researchers who do not work on these data</w:t>
      </w:r>
      <w:r w:rsidR="00F64155" w:rsidRPr="003279FA">
        <w:t xml:space="preserve">. </w:t>
      </w:r>
    </w:p>
    <w:p w14:paraId="3C2F84E9" w14:textId="63160013" w:rsidR="00FF2DC5" w:rsidRPr="007F47D0" w:rsidRDefault="00577725" w:rsidP="007F47D0">
      <w:pPr>
        <w:pStyle w:val="Heading2"/>
      </w:pPr>
      <w:bookmarkStart w:id="146" w:name="future-use-of-samples"/>
      <w:bookmarkStart w:id="147" w:name="_Toc156378714"/>
      <w:bookmarkStart w:id="148" w:name="_Toc181256590"/>
      <w:r w:rsidRPr="7706D474">
        <w:t>Future use of samples</w:t>
      </w:r>
      <w:bookmarkEnd w:id="146"/>
      <w:bookmarkEnd w:id="147"/>
      <w:bookmarkEnd w:id="148"/>
    </w:p>
    <w:p w14:paraId="060AC3E0" w14:textId="77777777" w:rsidR="00FF2DC5" w:rsidRPr="007F47D0" w:rsidRDefault="00577725" w:rsidP="00A61CA6">
      <w:pPr>
        <w:pStyle w:val="BodyText"/>
      </w:pPr>
      <w:r w:rsidRPr="007F47D0">
        <w:t>Samples collected will be used for the purpose of this study as stated in the protocol and stored for future use with consent. The standard consent form will request consent from subjects for sample storage and/or export of samples to collaborating institutions for investigations that cannot be performed locally. Any proposed plans to use samples other than for those investigations detailed in this protocol will be approved by the relevant ethics committees.</w:t>
      </w:r>
      <w:r w:rsidR="009057A6" w:rsidRPr="007F47D0">
        <w:t xml:space="preserve"> </w:t>
      </w:r>
      <w:r w:rsidRPr="007F47D0">
        <w:t>Data may be used alone or in combination with data from related studies in secondary analyses.</w:t>
      </w:r>
    </w:p>
    <w:p w14:paraId="66092B0F" w14:textId="77777777" w:rsidR="00FF2DC5" w:rsidRPr="007F47D0" w:rsidRDefault="00577725" w:rsidP="007F47D0">
      <w:pPr>
        <w:pStyle w:val="BodyText"/>
      </w:pPr>
      <w:r w:rsidRPr="007F47D0">
        <w:lastRenderedPageBreak/>
        <w:t>This study will adhere to the research policies of ISARIC (International Severe Acute Respiratory and Emerging Infection Consortium, www.isaric.org). A fundamental principle of this work is that clinical investigators contributing to research efforts, often in extremely difficult circumstances, must be given full recognition for their efforts and the opportunity to access data and samples. Ownership of any data transferred to the centralised database will be retained by the site that contributed it. All analysis of pooled data will be undertaken with the explicit agreement of each site who contributed.</w:t>
      </w:r>
    </w:p>
    <w:p w14:paraId="08C5D19E" w14:textId="4E5A64FF" w:rsidR="00FF2DC5" w:rsidRPr="007F47D0" w:rsidRDefault="00577725" w:rsidP="007F47D0">
      <w:pPr>
        <w:pStyle w:val="Heading1"/>
      </w:pPr>
      <w:bookmarkStart w:id="149" w:name="ethical-considerations"/>
      <w:bookmarkStart w:id="150" w:name="_Toc156378715"/>
      <w:bookmarkStart w:id="151" w:name="_Toc181256591"/>
      <w:r w:rsidRPr="7706D474">
        <w:t>Ethical considerations</w:t>
      </w:r>
      <w:bookmarkEnd w:id="149"/>
      <w:bookmarkEnd w:id="150"/>
      <w:bookmarkEnd w:id="151"/>
    </w:p>
    <w:p w14:paraId="280754D8" w14:textId="5CAE4CEA" w:rsidR="00FF2DC5" w:rsidRPr="007F47D0" w:rsidRDefault="00577725" w:rsidP="007F47D0">
      <w:pPr>
        <w:pStyle w:val="Heading2"/>
      </w:pPr>
      <w:bookmarkStart w:id="152" w:name="informed-consent"/>
      <w:bookmarkStart w:id="153" w:name="_Toc156378716"/>
      <w:bookmarkStart w:id="154" w:name="_Toc181256592"/>
      <w:r w:rsidRPr="7706D474">
        <w:t>Informed consent</w:t>
      </w:r>
      <w:bookmarkEnd w:id="152"/>
      <w:bookmarkEnd w:id="153"/>
      <w:bookmarkEnd w:id="154"/>
    </w:p>
    <w:p w14:paraId="3C4EB005" w14:textId="77777777" w:rsidR="001146FB" w:rsidRPr="007F47D0" w:rsidRDefault="00577725" w:rsidP="00A61CA6">
      <w:pPr>
        <w:pStyle w:val="BodyText"/>
      </w:pPr>
      <w:r w:rsidRPr="007F47D0">
        <w:t>Where participants lack capacity to consent due to altered mental state, critical illness or coma, a</w:t>
      </w:r>
      <w:r w:rsidR="008D3E11" w:rsidRPr="007F47D0">
        <w:t xml:space="preserve"> personal </w:t>
      </w:r>
      <w:r w:rsidRPr="007F47D0">
        <w:t>consultee will be asked to provide</w:t>
      </w:r>
      <w:r w:rsidR="008D3E11" w:rsidRPr="007F47D0">
        <w:t xml:space="preserve"> advice for the patient (aged 16 or over) to</w:t>
      </w:r>
      <w:r w:rsidRPr="007F47D0">
        <w:t xml:space="preserve"> participate on behalf of the patient, </w:t>
      </w:r>
      <w:r w:rsidR="008D3E11" w:rsidRPr="007F47D0">
        <w:t xml:space="preserve">based on the patient’s presumed wishes and feelings </w:t>
      </w:r>
      <w:r w:rsidRPr="007F47D0">
        <w:t>according to local laws and guidelines</w:t>
      </w:r>
      <w:r w:rsidR="0006194D" w:rsidRPr="007F47D0">
        <w:t xml:space="preserve">, </w:t>
      </w:r>
      <w:r w:rsidR="001146FB" w:rsidRPr="007F47D0">
        <w:t>namely: the Adults with Incapacity Act (2000) Scotland, the Mental Capacity Act 2005 (England and Wales) 2005 and the Mental Capacity Act (Northern Ireland) 2016.</w:t>
      </w:r>
    </w:p>
    <w:p w14:paraId="31C38995" w14:textId="59CF11E7" w:rsidR="00045EA3" w:rsidRPr="007F47D0" w:rsidRDefault="00045EA3" w:rsidP="007F47D0">
      <w:pPr>
        <w:pStyle w:val="BodyText"/>
      </w:pPr>
      <w:r>
        <w:t>Parents or guardians of children under the age of 16 will give consent for their child. Study staff obtaining consent will consider the ability of the child to understand the basic principles of the study and will discuss the study with the child in age</w:t>
      </w:r>
      <w:r w:rsidR="2C6D191B">
        <w:t>-</w:t>
      </w:r>
      <w:r>
        <w:t xml:space="preserve">appropriate language. Where appropriate, children will be invited to give assent, which will be recorded on the relevant assent form. The right to withdraw at any time without negative impact will be reinforced with the child and their parent/guardian. </w:t>
      </w:r>
      <w:r w:rsidRPr="00572A93">
        <w:t xml:space="preserve">Where a young person reaches the age of </w:t>
      </w:r>
      <w:r w:rsidR="00F7352F" w:rsidRPr="00572A93">
        <w:t>16</w:t>
      </w:r>
      <w:r w:rsidRPr="00572A93">
        <w:t xml:space="preserve"> and were recruited as a child, </w:t>
      </w:r>
      <w:r w:rsidR="00B8025B" w:rsidRPr="00572A93">
        <w:t>an attempt will be made to contact them to request</w:t>
      </w:r>
      <w:r w:rsidRPr="00572A93">
        <w:t xml:space="preserve"> </w:t>
      </w:r>
      <w:r w:rsidR="00F7352F" w:rsidRPr="00572A93">
        <w:t xml:space="preserve">continued </w:t>
      </w:r>
      <w:r w:rsidRPr="00572A93">
        <w:t>consent</w:t>
      </w:r>
      <w:r w:rsidR="00F7352F" w:rsidRPr="00572A93">
        <w:t xml:space="preserve"> for data linkage to health records. If consent can’t be obtained, then data linkage will cease at age 16. The GenOMICC central management team will alert research sites to any instance of a child reaching 16 to discuss how best to approach re-consent.</w:t>
      </w:r>
    </w:p>
    <w:p w14:paraId="3581E3D5" w14:textId="77777777" w:rsidR="00FF2DC5" w:rsidRPr="007F47D0" w:rsidRDefault="00577725" w:rsidP="007F47D0">
      <w:pPr>
        <w:pStyle w:val="BodyText"/>
      </w:pPr>
      <w:r w:rsidRPr="007F47D0">
        <w:t>Illiterate participants will have the consent form read in the presence of a witness, who will sign to verify the accurate reading of the form and agreement of the participant. For participants who cannot understand the language of the available forms, verified translations will be made when possible. If it is not possible to prepare a translation in a required language, verbal translation of the document and the consent discussion (if required) will be used. In this case, the translator may act as the witness for consent and sign the consent form so that patients who cannot read the language of the forms are not excluded from this research.</w:t>
      </w:r>
    </w:p>
    <w:p w14:paraId="0837EB57" w14:textId="1B753B35" w:rsidR="00D4000E" w:rsidRPr="007F47D0" w:rsidRDefault="00577725" w:rsidP="007F47D0">
      <w:pPr>
        <w:pStyle w:val="BodyText"/>
      </w:pPr>
      <w:r w:rsidRPr="007F47D0">
        <w:t>A copy of the informed consent form will be given to the person who gives consent.</w:t>
      </w:r>
    </w:p>
    <w:p w14:paraId="64B5DBAD" w14:textId="15C72FE2" w:rsidR="00FF2DC5" w:rsidRPr="007F47D0" w:rsidRDefault="00577725" w:rsidP="007F47D0">
      <w:pPr>
        <w:pStyle w:val="Heading3"/>
      </w:pPr>
      <w:bookmarkStart w:id="155" w:name="X648a86c0104ccd2aee31d068033bcde63fd830c"/>
      <w:bookmarkStart w:id="156" w:name="_Toc156378717"/>
      <w:bookmarkStart w:id="157" w:name="_Toc181256593"/>
      <w:r w:rsidRPr="7706D474">
        <w:t>Patients unable to consent for themselves</w:t>
      </w:r>
      <w:bookmarkEnd w:id="155"/>
      <w:bookmarkEnd w:id="156"/>
      <w:bookmarkEnd w:id="157"/>
    </w:p>
    <w:p w14:paraId="2FB9717D" w14:textId="7ECE4340" w:rsidR="00FF2DC5" w:rsidRPr="007F47D0" w:rsidRDefault="00577725" w:rsidP="00A61CA6">
      <w:pPr>
        <w:pStyle w:val="BodyText"/>
      </w:pPr>
      <w:r>
        <w:t xml:space="preserve">It is anticipated that, in many cases, illness may be </w:t>
      </w:r>
      <w:r w:rsidR="00AC0730">
        <w:t>severe,</w:t>
      </w:r>
      <w:r>
        <w:t xml:space="preserve"> and patients may not be able to consent for themselves. This study aims to improve understanding, and ultimately treatment, of life-threatening disease. </w:t>
      </w:r>
      <w:r w:rsidR="00AC0730">
        <w:t>To</w:t>
      </w:r>
      <w:r>
        <w:t xml:space="preserve"> do this, there is no option but to study patients who are extremely unwell. </w:t>
      </w:r>
      <w:proofErr w:type="gramStart"/>
      <w:r>
        <w:t xml:space="preserve">In </w:t>
      </w:r>
      <w:r>
        <w:lastRenderedPageBreak/>
        <w:t>the event that</w:t>
      </w:r>
      <w:proofErr w:type="gramEnd"/>
      <w:r>
        <w:t xml:space="preserve"> an eligible patient</w:t>
      </w:r>
      <w:r w:rsidR="0006194D">
        <w:t xml:space="preserve"> (aged 16 or over)</w:t>
      </w:r>
      <w:r>
        <w:t xml:space="preserve"> is unable to consent for herself/himself we will </w:t>
      </w:r>
      <w:r w:rsidR="0006194D">
        <w:t xml:space="preserve">consult with a </w:t>
      </w:r>
      <w:r w:rsidR="0006194D" w:rsidRPr="00572A93">
        <w:t xml:space="preserve">personal </w:t>
      </w:r>
      <w:r w:rsidR="00865D0B" w:rsidRPr="00572A93">
        <w:t>or professional</w:t>
      </w:r>
      <w:r w:rsidR="00865D0B">
        <w:t xml:space="preserve"> </w:t>
      </w:r>
      <w:r w:rsidR="0006194D">
        <w:t>consultee (in compliance with the Mental Capacity Act 2005 (England and Wales) and the Mental Capacity Act (Northern Ireland) 2016</w:t>
      </w:r>
      <w:r w:rsidR="00940B80">
        <w:t xml:space="preserve"> and the Adults with Incapacity Act (2000) Scotland</w:t>
      </w:r>
      <w:r w:rsidR="0006194D">
        <w:t xml:space="preserve"> on the patient’s presumed wishes and feelings) before taking any samples for research.</w:t>
      </w:r>
    </w:p>
    <w:p w14:paraId="784382A0" w14:textId="4621F314" w:rsidR="00FF2DC5" w:rsidRPr="007F47D0" w:rsidRDefault="00577725" w:rsidP="007F47D0">
      <w:pPr>
        <w:pStyle w:val="Heading3"/>
      </w:pPr>
      <w:bookmarkStart w:id="158" w:name="immediate-consent"/>
      <w:bookmarkStart w:id="159" w:name="_Toc156378718"/>
      <w:bookmarkStart w:id="160" w:name="_Toc181256594"/>
      <w:r w:rsidRPr="7706D474">
        <w:t>Immediate consent</w:t>
      </w:r>
      <w:bookmarkEnd w:id="158"/>
      <w:r w:rsidR="00D4000E" w:rsidRPr="7706D474">
        <w:t xml:space="preserve"> / immediate declaration</w:t>
      </w:r>
      <w:bookmarkEnd w:id="159"/>
      <w:bookmarkEnd w:id="160"/>
    </w:p>
    <w:p w14:paraId="2F3993CF" w14:textId="6E8F5A8B" w:rsidR="00577725" w:rsidRDefault="00577725" w:rsidP="328DC7AD">
      <w:pPr>
        <w:pStyle w:val="BodyText"/>
      </w:pPr>
      <w:r>
        <w:t xml:space="preserve">Potential participants/representatives will be given </w:t>
      </w:r>
      <w:proofErr w:type="gramStart"/>
      <w:r>
        <w:t>as long as</w:t>
      </w:r>
      <w:proofErr w:type="gramEnd"/>
      <w:r>
        <w:t xml:space="preserve"> they require to decide if they wish to take part. For repeat sampling, and where possible for prospective recruitment, patients or representatives will be given at least 24hrs to consider participation. In some cases, it may be necessary to respect the convenience of distressed critically ill patients, or their relatives or representatives, by giving them the option of consenting immediately to participate.</w:t>
      </w:r>
    </w:p>
    <w:p w14:paraId="40A68CE1" w14:textId="1D71ED04" w:rsidR="0064555B" w:rsidRPr="000622D4" w:rsidRDefault="0064555B" w:rsidP="0064555B">
      <w:pPr>
        <w:pStyle w:val="Heading3"/>
      </w:pPr>
      <w:bookmarkStart w:id="161" w:name="_Deferred_consent"/>
      <w:bookmarkStart w:id="162" w:name="_Toc181256595"/>
      <w:bookmarkEnd w:id="161"/>
      <w:r w:rsidRPr="000622D4">
        <w:t>Deferred consent</w:t>
      </w:r>
      <w:bookmarkEnd w:id="162"/>
    </w:p>
    <w:p w14:paraId="296C73E3" w14:textId="23ECC424" w:rsidR="0064555B" w:rsidRDefault="000622D4" w:rsidP="000622D4">
      <w:pPr>
        <w:jc w:val="both"/>
      </w:pPr>
      <w:r>
        <w:t>In England, Wales and Northern Ireland, a</w:t>
      </w:r>
      <w:r w:rsidR="0064555B" w:rsidRPr="000622D4">
        <w:t xml:space="preserve"> deferred consent process </w:t>
      </w:r>
      <w:r>
        <w:t>can</w:t>
      </w:r>
      <w:r w:rsidR="0064555B" w:rsidRPr="000622D4">
        <w:t xml:space="preserve"> be applied. </w:t>
      </w:r>
      <w:r>
        <w:t xml:space="preserve">In these </w:t>
      </w:r>
      <w:proofErr w:type="gramStart"/>
      <w:r>
        <w:t>cases</w:t>
      </w:r>
      <w:proofErr w:type="gramEnd"/>
      <w:r>
        <w:t xml:space="preserve"> a</w:t>
      </w:r>
      <w:r w:rsidR="0064555B" w:rsidRPr="000622D4">
        <w:t xml:space="preserve"> sample will be taken as described in the sampling details section above on page 13, from any patient meeting the entry criteria. The sample will be held at the recruiting site for up to 7 days pending appropriate consent. No samples will be transferred to the central laboratory for testing, or stored at site beyond 7 days, without consent having first been obtained.</w:t>
      </w:r>
    </w:p>
    <w:p w14:paraId="4D2D631B" w14:textId="3FAE0EEA" w:rsidR="000622D4" w:rsidRDefault="000622D4" w:rsidP="000622D4">
      <w:pPr>
        <w:jc w:val="both"/>
      </w:pPr>
      <w:r>
        <w:t>The option of deferred consent is not currently available in Scotland.</w:t>
      </w:r>
    </w:p>
    <w:p w14:paraId="4C383209" w14:textId="7BECBA7A" w:rsidR="43AB8366" w:rsidRPr="00572A93" w:rsidRDefault="000622D4" w:rsidP="7DA144BB">
      <w:pPr>
        <w:pStyle w:val="Heading3"/>
      </w:pPr>
      <w:bookmarkStart w:id="163" w:name="_Toc181256596"/>
      <w:r>
        <w:t>Antenatal</w:t>
      </w:r>
      <w:r w:rsidR="0064555B">
        <w:t xml:space="preserve"> </w:t>
      </w:r>
      <w:r w:rsidR="43AB8366" w:rsidRPr="00572A93">
        <w:t>consent</w:t>
      </w:r>
      <w:bookmarkEnd w:id="163"/>
    </w:p>
    <w:p w14:paraId="55AA9850" w14:textId="2C39F824" w:rsidR="5D9CA000" w:rsidRPr="00572A93" w:rsidRDefault="0ACD4C85" w:rsidP="7DA144BB">
      <w:pPr>
        <w:pStyle w:val="BodyText"/>
      </w:pPr>
      <w:r w:rsidRPr="00572A93">
        <w:t>It is possible that parents who will have a preterm baby will b</w:t>
      </w:r>
      <w:r w:rsidR="32F676B2" w:rsidRPr="00572A93">
        <w:t>e</w:t>
      </w:r>
      <w:r w:rsidRPr="00572A93">
        <w:t xml:space="preserve"> identified by</w:t>
      </w:r>
      <w:r w:rsidR="49F62154" w:rsidRPr="00572A93">
        <w:t xml:space="preserve"> hospital</w:t>
      </w:r>
      <w:r w:rsidRPr="00572A93">
        <w:t xml:space="preserve"> staff prior to the birth of the child. Such parents may be given an opportunity to take part and </w:t>
      </w:r>
      <w:r w:rsidR="2A593277" w:rsidRPr="00572A93">
        <w:t xml:space="preserve">consent to the </w:t>
      </w:r>
      <w:r w:rsidRPr="00572A93">
        <w:t>donat</w:t>
      </w:r>
      <w:r w:rsidR="4691599D" w:rsidRPr="00572A93">
        <w:t>ion of</w:t>
      </w:r>
      <w:r w:rsidRPr="00572A93">
        <w:t xml:space="preserve"> cord blood, or another sample from the </w:t>
      </w:r>
      <w:r w:rsidR="59A00380" w:rsidRPr="00572A93">
        <w:t xml:space="preserve">preterm child </w:t>
      </w:r>
      <w:r w:rsidR="66B40A46" w:rsidRPr="00572A93">
        <w:t>following birth, prior to the birth of the child.</w:t>
      </w:r>
    </w:p>
    <w:p w14:paraId="3765A344" w14:textId="79A4A013" w:rsidR="0015057B" w:rsidRPr="007F47D0" w:rsidRDefault="0015057B" w:rsidP="007F47D0">
      <w:pPr>
        <w:pStyle w:val="Heading3"/>
      </w:pPr>
      <w:bookmarkStart w:id="164" w:name="_Toc156378719"/>
      <w:bookmarkStart w:id="165" w:name="_Toc181256597"/>
      <w:r w:rsidRPr="7706D474">
        <w:t>Telephone consent</w:t>
      </w:r>
      <w:r w:rsidR="00D4000E" w:rsidRPr="7706D474">
        <w:t xml:space="preserve"> / immediate declaration</w:t>
      </w:r>
      <w:bookmarkEnd w:id="164"/>
      <w:bookmarkEnd w:id="165"/>
    </w:p>
    <w:p w14:paraId="51353148" w14:textId="7752C5C6" w:rsidR="00E942E4" w:rsidRPr="00CD5490" w:rsidRDefault="00E942E4" w:rsidP="00A61CA6">
      <w:pPr>
        <w:pStyle w:val="BodyText"/>
      </w:pPr>
      <w:r>
        <w:t xml:space="preserve">This study aims to explain, and ultimately to improve treatment of, extreme susceptibility to life-threatening disease. It is therefore essential that the most susceptible, and hence the most unwell, patients </w:t>
      </w:r>
      <w:proofErr w:type="gramStart"/>
      <w:r>
        <w:t>are able to</w:t>
      </w:r>
      <w:proofErr w:type="gramEnd"/>
      <w:r>
        <w:t xml:space="preserve"> participate. Sadly, many of the sickest patients have a precipitous decline in the first 24hrs in critical care, so it is often impractical to discuss recruitment in person with a personal consultee. For this reason, we will offer appropriate individuals the opportunity to provide advice over the telephone to a member of the local </w:t>
      </w:r>
      <w:r w:rsidR="00DA71E8">
        <w:t xml:space="preserve">clinical or </w:t>
      </w:r>
      <w:r w:rsidR="768E7DE7" w:rsidRPr="00572A93">
        <w:t>research</w:t>
      </w:r>
      <w:r>
        <w:t xml:space="preserve"> team. </w:t>
      </w:r>
    </w:p>
    <w:p w14:paraId="00B07F3C" w14:textId="170E15A0" w:rsidR="00E942E4" w:rsidRDefault="00E942E4" w:rsidP="00A61CA6">
      <w:pPr>
        <w:pStyle w:val="BodyText"/>
      </w:pPr>
      <w:r w:rsidRPr="00CD5490">
        <w:t xml:space="preserve">Telephone consent </w:t>
      </w:r>
      <w:r w:rsidR="00D4000E">
        <w:t xml:space="preserve">or declaration </w:t>
      </w:r>
      <w:r w:rsidRPr="00CD5490">
        <w:t xml:space="preserve">will be guided by a script. Personal consultees will be sent the relevant information sheet by email, post, by direction to the study </w:t>
      </w:r>
      <w:r w:rsidRPr="00A61CA6">
        <w:t>website</w:t>
      </w:r>
      <w:r w:rsidRPr="00CD5490">
        <w:t xml:space="preserve">, or by having the telephone summary information read over the phone to them. The individual taking advice from the </w:t>
      </w:r>
      <w:r w:rsidRPr="00CD5490">
        <w:lastRenderedPageBreak/>
        <w:t>consultee consent will create a paper record of the consultee advice which will also be placed on the electronic case record form.</w:t>
      </w:r>
    </w:p>
    <w:p w14:paraId="0E0DDFBD" w14:textId="48AA1F19" w:rsidR="00F61823" w:rsidRPr="003279FA" w:rsidRDefault="00503A0A" w:rsidP="00682DB0">
      <w:pPr>
        <w:pStyle w:val="Heading3"/>
        <w:pBdr>
          <w:top w:val="single" w:sz="6" w:space="1" w:color="4472C4" w:themeColor="accent1"/>
        </w:pBdr>
        <w:rPr>
          <w:color w:val="000000" w:themeColor="text1"/>
        </w:rPr>
      </w:pPr>
      <w:bookmarkStart w:id="166" w:name="_Toc156378720"/>
      <w:bookmarkStart w:id="167" w:name="_Toc181256598"/>
      <w:r>
        <w:rPr>
          <w:color w:val="000000" w:themeColor="text1"/>
        </w:rPr>
        <w:t>Online</w:t>
      </w:r>
      <w:r w:rsidR="00F61823" w:rsidRPr="7706D474">
        <w:rPr>
          <w:color w:val="000000" w:themeColor="text1"/>
        </w:rPr>
        <w:t xml:space="preserve"> consent</w:t>
      </w:r>
      <w:r w:rsidR="00AE7371" w:rsidRPr="7706D474">
        <w:rPr>
          <w:color w:val="000000" w:themeColor="text1"/>
        </w:rPr>
        <w:t xml:space="preserve"> for control volunteers in the community</w:t>
      </w:r>
      <w:bookmarkEnd w:id="166"/>
      <w:bookmarkEnd w:id="167"/>
    </w:p>
    <w:p w14:paraId="454D1F51" w14:textId="77777777" w:rsidR="00F61823" w:rsidRPr="003279FA" w:rsidRDefault="00F61823" w:rsidP="00A61CA6">
      <w:pPr>
        <w:pStyle w:val="BodyText"/>
      </w:pPr>
      <w:r>
        <w:t>Completion of a consent form online, on the study website,</w:t>
      </w:r>
      <w:r w:rsidRPr="00F61823">
        <w:t xml:space="preserve"> will allow control volunteers in the community the opportunity to participate without the necessity to attend a study site to provide consent in person.</w:t>
      </w:r>
      <w:r>
        <w:t xml:space="preserve"> </w:t>
      </w:r>
      <w:r w:rsidR="00AE7371">
        <w:t xml:space="preserve">This facility will be restricted to individuals with the capacity to provide consent for themselves. </w:t>
      </w:r>
      <w:r>
        <w:t>The website will provide the</w:t>
      </w:r>
      <w:r w:rsidR="00AE7371">
        <w:t xml:space="preserve"> same</w:t>
      </w:r>
      <w:r>
        <w:t xml:space="preserve"> information contained in the information sheet and volunteers will be prompted to read this and confirm they have understood the content</w:t>
      </w:r>
      <w:r w:rsidR="00AE7371">
        <w:t xml:space="preserve"> prior to consenting to participate</w:t>
      </w:r>
      <w:r>
        <w:t xml:space="preserve">. </w:t>
      </w:r>
      <w:r w:rsidR="00045EA3" w:rsidRPr="00163739">
        <w:t>Volunteers will be able to provide their contact details on the study website and join the study either using conventional paper-based consent procedures or supplement</w:t>
      </w:r>
      <w:r w:rsidR="00045EA3">
        <w:t>e</w:t>
      </w:r>
      <w:r w:rsidR="00045EA3" w:rsidRPr="00163739">
        <w:t>d where appropriate with an online consent tool on the study website</w:t>
      </w:r>
      <w:r w:rsidR="00045EA3">
        <w:t xml:space="preserve">. </w:t>
      </w:r>
      <w:r w:rsidR="00045EA3" w:rsidRPr="00A61CA6">
        <w:t>An</w:t>
      </w:r>
      <w:r w:rsidR="00045EA3">
        <w:t xml:space="preserve"> option will be provided for volunteers to request a telephone call and provide telephone consent if they do not understand the material online or have additional questions.</w:t>
      </w:r>
    </w:p>
    <w:p w14:paraId="3AB73A9C" w14:textId="1CD87B75" w:rsidR="00FF2DC5" w:rsidRPr="007F47D0" w:rsidRDefault="00577725" w:rsidP="007F47D0">
      <w:pPr>
        <w:pStyle w:val="Heading2"/>
      </w:pPr>
      <w:bookmarkStart w:id="168" w:name="risks-to-participants"/>
      <w:bookmarkStart w:id="169" w:name="_Toc156378721"/>
      <w:bookmarkStart w:id="170" w:name="_Toc181256599"/>
      <w:r w:rsidRPr="7706D474">
        <w:t>Risks to participants</w:t>
      </w:r>
      <w:bookmarkEnd w:id="168"/>
      <w:bookmarkEnd w:id="169"/>
      <w:bookmarkEnd w:id="170"/>
    </w:p>
    <w:p w14:paraId="22503C1B" w14:textId="3DAB7C11" w:rsidR="00FF2DC5" w:rsidRPr="007F47D0" w:rsidRDefault="00577725" w:rsidP="007F47D0">
      <w:pPr>
        <w:pStyle w:val="Heading3"/>
      </w:pPr>
      <w:bookmarkStart w:id="171" w:name="inconvenience"/>
      <w:bookmarkStart w:id="172" w:name="_Toc156378722"/>
      <w:bookmarkStart w:id="173" w:name="_Toc181256600"/>
      <w:r w:rsidRPr="7706D474">
        <w:t>Inconvenience</w:t>
      </w:r>
      <w:bookmarkEnd w:id="171"/>
      <w:bookmarkEnd w:id="172"/>
      <w:bookmarkEnd w:id="173"/>
    </w:p>
    <w:p w14:paraId="7B1E8B95" w14:textId="77777777" w:rsidR="00FF2DC5" w:rsidRPr="003279FA" w:rsidRDefault="00577725" w:rsidP="00A61CA6">
      <w:pPr>
        <w:pStyle w:val="BodyText"/>
      </w:pPr>
      <w:r w:rsidRPr="003279FA">
        <w:t>Participation in this research study poses a minimal risk of inconvenience through attendance of follow-up visits. Appropriate compensation for travel costs to attend follow-up visits and for time of attending visits will be given according to the standard policies of the sponsor.</w:t>
      </w:r>
    </w:p>
    <w:p w14:paraId="5DDDC0AC" w14:textId="262E4D7A" w:rsidR="00FF2DC5" w:rsidRPr="007F47D0" w:rsidRDefault="00577725" w:rsidP="007F47D0">
      <w:pPr>
        <w:pStyle w:val="Heading3"/>
      </w:pPr>
      <w:bookmarkStart w:id="174" w:name="phlebotomy"/>
      <w:bookmarkStart w:id="175" w:name="_Toc156378723"/>
      <w:bookmarkStart w:id="176" w:name="_Toc181256601"/>
      <w:r w:rsidRPr="7706D474">
        <w:t>Phlebotomy</w:t>
      </w:r>
      <w:bookmarkEnd w:id="174"/>
      <w:bookmarkEnd w:id="175"/>
      <w:bookmarkEnd w:id="176"/>
    </w:p>
    <w:p w14:paraId="1F3575E8" w14:textId="77777777" w:rsidR="00FF2DC5" w:rsidRPr="003279FA" w:rsidRDefault="00577725" w:rsidP="00A61CA6">
      <w:pPr>
        <w:pStyle w:val="BodyText"/>
      </w:pPr>
      <w:r w:rsidRPr="003279FA">
        <w:t>Phlebotomy can be associated with pain at the draw site and rarely with infection. Blood draw volumes have been restricted according to weight so that combined clinical and research sampling is within recommended limits. Discomfort will be minimised by having expert staff obtain blood samples, and by combining research sampling with routine clinical sampling where possible.</w:t>
      </w:r>
    </w:p>
    <w:p w14:paraId="60F8FC94" w14:textId="6FB5594E" w:rsidR="00FF2DC5" w:rsidRPr="007F47D0" w:rsidRDefault="00503A0A" w:rsidP="007F47D0">
      <w:pPr>
        <w:pStyle w:val="Heading3"/>
      </w:pPr>
      <w:bookmarkStart w:id="177" w:name="incidental-findings-in-genetic-testing"/>
      <w:bookmarkStart w:id="178" w:name="_Toc156378724"/>
      <w:bookmarkStart w:id="179" w:name="_Toc181256602"/>
      <w:proofErr w:type="gramStart"/>
      <w:r>
        <w:t>Clinically-actionable</w:t>
      </w:r>
      <w:proofErr w:type="gramEnd"/>
      <w:r w:rsidR="00577725" w:rsidRPr="7706D474">
        <w:t xml:space="preserve"> findings in genetic testing</w:t>
      </w:r>
      <w:bookmarkEnd w:id="177"/>
      <w:bookmarkEnd w:id="178"/>
      <w:bookmarkEnd w:id="179"/>
    </w:p>
    <w:p w14:paraId="4AFE958D" w14:textId="653EF346" w:rsidR="007F18D5" w:rsidRPr="003279FA" w:rsidRDefault="007F18D5" w:rsidP="00A61CA6">
      <w:pPr>
        <w:pStyle w:val="BodyText"/>
      </w:pPr>
      <w:r w:rsidRPr="7481EACB">
        <w:t xml:space="preserve">Clinically actionable findings are not expected during the time course of a </w:t>
      </w:r>
      <w:r w:rsidRPr="00A61CA6">
        <w:t>patient’s</w:t>
      </w:r>
      <w:r w:rsidRPr="7481EACB">
        <w:t xml:space="preserve"> illness. It is possible that, in a very small number of participants, the research will identify a genomic finding that explains their severe response and that is relevant to their future medical care e.g., a rare genetic immune deficiency. Where this is the case, and where the NHS Genomic Medicine Service agrees that the finding meets criteria for diagnostic reporting, it will be returned to the participant via their NHS care team</w:t>
      </w:r>
      <w:r w:rsidR="00DA71E8">
        <w:t>.</w:t>
      </w:r>
    </w:p>
    <w:p w14:paraId="23BC2F9F" w14:textId="5989806D" w:rsidR="00FF2DC5" w:rsidRPr="007F47D0" w:rsidRDefault="00577725" w:rsidP="007F47D0">
      <w:pPr>
        <w:pStyle w:val="Heading3"/>
      </w:pPr>
      <w:bookmarkStart w:id="180" w:name="benefits-to-participants"/>
      <w:bookmarkStart w:id="181" w:name="_Toc156378725"/>
      <w:bookmarkStart w:id="182" w:name="_Toc181256603"/>
      <w:r w:rsidRPr="7706D474">
        <w:lastRenderedPageBreak/>
        <w:t>Benefits to participants</w:t>
      </w:r>
      <w:bookmarkEnd w:id="180"/>
      <w:bookmarkEnd w:id="181"/>
      <w:bookmarkEnd w:id="182"/>
    </w:p>
    <w:p w14:paraId="5E3DBD2C" w14:textId="79BB4F0A" w:rsidR="2E127634" w:rsidRPr="00572A93" w:rsidRDefault="2E127634" w:rsidP="7DA144BB">
      <w:pPr>
        <w:pStyle w:val="BodyText"/>
      </w:pPr>
      <w:r w:rsidRPr="00572A93">
        <w:t>Although t</w:t>
      </w:r>
      <w:r w:rsidR="000F3F14" w:rsidRPr="00572A93">
        <w:t xml:space="preserve">here </w:t>
      </w:r>
      <w:r w:rsidR="1336BBAC" w:rsidRPr="00572A93">
        <w:t xml:space="preserve">are no direct benefits </w:t>
      </w:r>
      <w:r w:rsidR="000F3F14" w:rsidRPr="00572A93">
        <w:t>to research participants</w:t>
      </w:r>
      <w:r w:rsidR="7BC62F96" w:rsidRPr="00572A93">
        <w:t xml:space="preserve"> in taking part </w:t>
      </w:r>
      <w:r w:rsidR="077B0ABF" w:rsidRPr="00572A93">
        <w:t>i</w:t>
      </w:r>
      <w:r w:rsidR="7BC62F96" w:rsidRPr="00572A93">
        <w:t xml:space="preserve">n this study, there is a very small possibility that </w:t>
      </w:r>
      <w:r w:rsidR="000F3F14" w:rsidRPr="00572A93">
        <w:t xml:space="preserve">clinically relevant information </w:t>
      </w:r>
      <w:r w:rsidR="12F68C36" w:rsidRPr="00572A93">
        <w:t xml:space="preserve">could </w:t>
      </w:r>
      <w:r w:rsidR="000F3F14" w:rsidRPr="00572A93">
        <w:t>be identified</w:t>
      </w:r>
      <w:r w:rsidR="67A50502" w:rsidRPr="00572A93">
        <w:t>.</w:t>
      </w:r>
      <w:r w:rsidR="000F3F14" w:rsidRPr="00572A93">
        <w:t xml:space="preserve"> </w:t>
      </w:r>
      <w:r w:rsidR="4564EEB8" w:rsidRPr="00572A93">
        <w:t>T</w:t>
      </w:r>
      <w:r w:rsidR="000F3F14" w:rsidRPr="00572A93">
        <w:t>here is a process through which this can be returned via the NHS.</w:t>
      </w:r>
      <w:r w:rsidR="000F3F14">
        <w:t xml:space="preserve"> </w:t>
      </w:r>
    </w:p>
    <w:p w14:paraId="72F85AE6" w14:textId="1F213984" w:rsidR="00FF2DC5" w:rsidRPr="007F47D0" w:rsidRDefault="00577725" w:rsidP="007F47D0">
      <w:pPr>
        <w:pStyle w:val="Heading2"/>
      </w:pPr>
      <w:bookmarkStart w:id="183" w:name="X064990dac84e4aa06facc638859805172aef88a"/>
      <w:bookmarkStart w:id="184" w:name="_Toc156378726"/>
      <w:bookmarkStart w:id="185" w:name="_Toc181256604"/>
      <w:r w:rsidRPr="7706D474">
        <w:t>Participation in other research studies (co-enrolment)</w:t>
      </w:r>
      <w:bookmarkEnd w:id="183"/>
      <w:bookmarkEnd w:id="184"/>
      <w:bookmarkEnd w:id="185"/>
    </w:p>
    <w:p w14:paraId="3CC40CD6" w14:textId="1A22E0CA" w:rsidR="00FF2DC5" w:rsidRPr="003279FA" w:rsidRDefault="00577725" w:rsidP="00A61CA6">
      <w:pPr>
        <w:pStyle w:val="BodyText"/>
      </w:pPr>
      <w:r>
        <w:t xml:space="preserve">Particularly in the case of emerging infections, it is likely that other research projects, including clinical trials, will also recruit participants in this study. In </w:t>
      </w:r>
      <w:r w:rsidR="00611F1A">
        <w:t>fact,</w:t>
      </w:r>
      <w:r>
        <w:t xml:space="preserve"> it is important that they do so, and great effort has been expended to ensure that this study is compatible with, and complementary to, other possible research projects.</w:t>
      </w:r>
    </w:p>
    <w:p w14:paraId="0B96F87A" w14:textId="0FD2AAFE" w:rsidR="0F12773A" w:rsidRPr="00572A93" w:rsidRDefault="0F12773A" w:rsidP="7DA144BB">
      <w:pPr>
        <w:pStyle w:val="BodyText"/>
        <w:rPr>
          <w:rFonts w:ascii="Segoe UI" w:eastAsia="Segoe UI" w:hAnsi="Segoe UI" w:cs="Segoe UI"/>
          <w:color w:val="242424"/>
        </w:rPr>
      </w:pPr>
      <w:r w:rsidRPr="00572A93">
        <w:rPr>
          <w:rFonts w:ascii="Segoe UI" w:eastAsia="Segoe UI" w:hAnsi="Segoe UI" w:cs="Segoe UI"/>
          <w:color w:val="242424"/>
        </w:rPr>
        <w:t xml:space="preserve">As </w:t>
      </w:r>
      <w:r w:rsidR="4B99BA14" w:rsidRPr="00572A93">
        <w:rPr>
          <w:rFonts w:ascii="Segoe UI" w:eastAsia="Segoe UI" w:hAnsi="Segoe UI" w:cs="Segoe UI"/>
          <w:color w:val="242424"/>
        </w:rPr>
        <w:t>a sample only study, any co-enrolment in GenOMICC with another study</w:t>
      </w:r>
      <w:r w:rsidR="08C15225" w:rsidRPr="00572A93">
        <w:rPr>
          <w:rFonts w:ascii="Segoe UI" w:eastAsia="Segoe UI" w:hAnsi="Segoe UI" w:cs="Segoe UI"/>
          <w:color w:val="242424"/>
        </w:rPr>
        <w:t xml:space="preserve"> or clinical trial</w:t>
      </w:r>
      <w:r w:rsidR="4B99BA14" w:rsidRPr="00572A93">
        <w:rPr>
          <w:rFonts w:ascii="Segoe UI" w:eastAsia="Segoe UI" w:hAnsi="Segoe UI" w:cs="Segoe UI"/>
          <w:color w:val="242424"/>
        </w:rPr>
        <w:t xml:space="preserve"> does not require any formal written documentation.</w:t>
      </w:r>
    </w:p>
    <w:p w14:paraId="482D3B25" w14:textId="37ACA3C6" w:rsidR="00FF2DC5" w:rsidRPr="007F47D0" w:rsidRDefault="00577725" w:rsidP="007F47D0">
      <w:pPr>
        <w:pStyle w:val="Heading2"/>
      </w:pPr>
      <w:bookmarkStart w:id="186" w:name="confidentiality"/>
      <w:bookmarkStart w:id="187" w:name="_Toc156378727"/>
      <w:bookmarkStart w:id="188" w:name="_Toc181256605"/>
      <w:r w:rsidRPr="7706D474">
        <w:t>Confidentiality</w:t>
      </w:r>
      <w:bookmarkEnd w:id="186"/>
      <w:bookmarkEnd w:id="187"/>
      <w:bookmarkEnd w:id="188"/>
    </w:p>
    <w:p w14:paraId="0A42C646" w14:textId="3A47D615" w:rsidR="00FF2DC5" w:rsidRPr="003279FA" w:rsidRDefault="00577725" w:rsidP="00A61CA6">
      <w:pPr>
        <w:pStyle w:val="BodyText"/>
      </w:pPr>
      <w:r>
        <w:t xml:space="preserve">This study will be conducted by clinical staff and those involved in the study will ensure that each study participant’s privacy and confidentiality is maintained. Participants will not be identified in any published reports of this study. All records will be kept confidential to the extent provided by international and local law. All laboratory specimens, evaluation forms, reports, documentation, </w:t>
      </w:r>
      <w:proofErr w:type="gramStart"/>
      <w:r>
        <w:t>data</w:t>
      </w:r>
      <w:proofErr w:type="gramEnd"/>
      <w:r>
        <w:t xml:space="preserve"> and all other information generated will be held in strict confidence. No information concerning the </w:t>
      </w:r>
      <w:r w:rsidR="5A806C2A">
        <w:t>study,</w:t>
      </w:r>
      <w:r>
        <w:t xml:space="preserve"> or the data will be released to any unauthorised third party.</w:t>
      </w:r>
    </w:p>
    <w:p w14:paraId="3EBD1803" w14:textId="3FEDC54F" w:rsidR="00FF2DC5" w:rsidRPr="007F47D0" w:rsidRDefault="00577725" w:rsidP="007F47D0">
      <w:pPr>
        <w:pStyle w:val="BodyText"/>
      </w:pPr>
      <w:r>
        <w:t>Minimal personal data will be entered into the database for analysis</w:t>
      </w:r>
      <w:r w:rsidR="0051162B">
        <w:t xml:space="preserve">. </w:t>
      </w:r>
      <w:r w:rsidR="00DD1CE6">
        <w:t xml:space="preserve">The patient’s identifying personal information will be logged separately and stored securely in paper format at the recruiting site. </w:t>
      </w:r>
      <w:r w:rsidR="006265B0">
        <w:t>Where recruitment is performed in the community by an appropriately trained practitioner from a third</w:t>
      </w:r>
      <w:r w:rsidR="05C1EE86">
        <w:t>-</w:t>
      </w:r>
      <w:r w:rsidR="006265B0">
        <w:t>party organisation, minimal patient identifiers will be passed to the organisation to allow the visit to be scheduled and carried out</w:t>
      </w:r>
      <w:r w:rsidR="000616CE">
        <w:t>.</w:t>
      </w:r>
      <w:r>
        <w:t xml:space="preserve"> The patient might be asked to take part in future research, and therefore their identifiers need to be retained for this purpose. The stored research data is also likely to be of significant value in the future for other studies and so research data that does contain minimal patient identifiers such as </w:t>
      </w:r>
      <w:r w:rsidR="00884175">
        <w:t>name, date of birth, and NHS/CHI number</w:t>
      </w:r>
      <w:r>
        <w:t xml:space="preserve"> will be stored indefinitely.</w:t>
      </w:r>
    </w:p>
    <w:p w14:paraId="774F07D9" w14:textId="77777777" w:rsidR="00FF2DC5" w:rsidRPr="003279FA" w:rsidRDefault="00577725" w:rsidP="00A61CA6">
      <w:pPr>
        <w:pStyle w:val="BodyText"/>
      </w:pPr>
      <w:r w:rsidRPr="003279FA">
        <w:t xml:space="preserve">Paper and electronic medical records may be accessed during the study to confirm, </w:t>
      </w:r>
      <w:proofErr w:type="gramStart"/>
      <w:r w:rsidRPr="003279FA">
        <w:t>verify</w:t>
      </w:r>
      <w:proofErr w:type="gramEnd"/>
      <w:r w:rsidRPr="003279FA">
        <w:t xml:space="preserve"> or complete clinical information provided in the case report </w:t>
      </w:r>
      <w:r w:rsidRPr="00A61CA6">
        <w:t>form</w:t>
      </w:r>
      <w:r w:rsidRPr="003279FA">
        <w:t>.</w:t>
      </w:r>
    </w:p>
    <w:p w14:paraId="2DED0B17" w14:textId="306322F6" w:rsidR="0086536F" w:rsidRPr="007F47D0" w:rsidRDefault="00FA03BD" w:rsidP="007F47D0">
      <w:pPr>
        <w:pStyle w:val="BodyText"/>
      </w:pPr>
      <w:r w:rsidRPr="007F47D0">
        <w:t xml:space="preserve">Identifiable data will be entered into the study database to allow for electronic health record linkage. </w:t>
      </w:r>
      <w:r w:rsidR="0086536F" w:rsidRPr="007F47D0">
        <w:t>The data will be pseudonymized to allow for linkage with national regional and other data sources (</w:t>
      </w:r>
      <w:r w:rsidR="00725FD1" w:rsidRPr="007F47D0">
        <w:t>e.g.,</w:t>
      </w:r>
      <w:r w:rsidR="0086536F" w:rsidRPr="007F47D0">
        <w:t xml:space="preserve"> other research studies), and the collection of longitudinal life course data.</w:t>
      </w:r>
    </w:p>
    <w:p w14:paraId="79CF438C" w14:textId="77777777" w:rsidR="00F37983" w:rsidRPr="003279FA" w:rsidRDefault="00F37983" w:rsidP="00A61CA6">
      <w:pPr>
        <w:pStyle w:val="BodyText"/>
      </w:pPr>
      <w:r w:rsidRPr="003279FA">
        <w:t xml:space="preserve">Data will be pseudonymised </w:t>
      </w:r>
      <w:r w:rsidR="001F7A1F" w:rsidRPr="003279FA">
        <w:t xml:space="preserve">prior to access by </w:t>
      </w:r>
      <w:r w:rsidR="001F7A1F" w:rsidRPr="00A61CA6">
        <w:t>researchers</w:t>
      </w:r>
      <w:r w:rsidR="001F7A1F" w:rsidRPr="003279FA">
        <w:t>.</w:t>
      </w:r>
    </w:p>
    <w:p w14:paraId="1F5F5C08" w14:textId="77777777" w:rsidR="00FF2DC5" w:rsidRPr="003279FA" w:rsidRDefault="00577725" w:rsidP="00A61CA6">
      <w:pPr>
        <w:pStyle w:val="BodyText"/>
      </w:pPr>
      <w:r w:rsidRPr="003279FA">
        <w:lastRenderedPageBreak/>
        <w:t>All samples will be labe</w:t>
      </w:r>
      <w:r w:rsidR="00E75525">
        <w:t>l</w:t>
      </w:r>
      <w:r w:rsidRPr="003279FA">
        <w:t xml:space="preserve">led with a unique, non-identifiable subject number. The patient’s name and subject number will be recorded on the consent form. This will preserve </w:t>
      </w:r>
      <w:r w:rsidR="00027D8D">
        <w:t>a</w:t>
      </w:r>
      <w:r w:rsidRPr="003279FA">
        <w:t xml:space="preserve"> link between anonymous and identifiable data. Further research questions, subject to appropriate </w:t>
      </w:r>
      <w:r w:rsidRPr="00A61CA6">
        <w:t>ethical</w:t>
      </w:r>
      <w:r w:rsidRPr="003279FA">
        <w:t xml:space="preserve"> approval, may be answered in retrospect in the future. Since the samples and data generated by this work may be irreplaceable after an outbreak of infectious disease has passed, it is essential that future work is not impeded by unnecessary data loss. Data will be encrypted before transfer on portable devices. Multiple backups will be maintained on institutional servers. Critical data will be stored in a stable storage format.</w:t>
      </w:r>
    </w:p>
    <w:p w14:paraId="285A5049" w14:textId="77777777" w:rsidR="00FF2DC5" w:rsidRPr="003279FA" w:rsidRDefault="00577725" w:rsidP="00A61CA6">
      <w:pPr>
        <w:pStyle w:val="BodyText"/>
      </w:pPr>
      <w:r w:rsidRPr="003279FA">
        <w:t xml:space="preserve">It is important that data generated now is not destroyed unnecessarily, since </w:t>
      </w:r>
      <w:r w:rsidRPr="00A61CA6">
        <w:t>they</w:t>
      </w:r>
      <w:r w:rsidRPr="003279FA">
        <w:t xml:space="preserve"> will be of considerable potential value to future research. Electronic data and electronic copies of paper documents will be stored indefinitely</w:t>
      </w:r>
    </w:p>
    <w:p w14:paraId="2BC6CEE5" w14:textId="42D2774F" w:rsidR="00FF2DC5" w:rsidRPr="007F47D0" w:rsidRDefault="00577725" w:rsidP="007F47D0">
      <w:pPr>
        <w:pStyle w:val="Heading2"/>
      </w:pPr>
      <w:bookmarkStart w:id="189" w:name="scientific-and-peer-review"/>
      <w:bookmarkStart w:id="190" w:name="_Toc156378728"/>
      <w:bookmarkStart w:id="191" w:name="_Toc181256606"/>
      <w:r w:rsidRPr="7706D474">
        <w:t>Scientific and peer review</w:t>
      </w:r>
      <w:bookmarkEnd w:id="189"/>
      <w:bookmarkEnd w:id="190"/>
      <w:bookmarkEnd w:id="191"/>
    </w:p>
    <w:p w14:paraId="04FC00E2" w14:textId="77777777" w:rsidR="00FF2DC5" w:rsidRPr="003279FA" w:rsidRDefault="00577725" w:rsidP="00A61CA6">
      <w:pPr>
        <w:pStyle w:val="BodyText"/>
      </w:pPr>
      <w:r w:rsidRPr="003279FA">
        <w:t xml:space="preserve">The proposed study has undergone extensive peer review in successive iterations including formal review and approval by the ISARIC Executive Committee and the </w:t>
      </w:r>
      <w:proofErr w:type="spellStart"/>
      <w:r w:rsidRPr="003279FA">
        <w:t>InFACT</w:t>
      </w:r>
      <w:proofErr w:type="spellEnd"/>
      <w:r w:rsidRPr="003279FA">
        <w:t xml:space="preserve"> Executive Committee, three rounds of peer-review during successive applications to the </w:t>
      </w:r>
      <w:proofErr w:type="spellStart"/>
      <w:r w:rsidRPr="003279FA">
        <w:t>Wellcome</w:t>
      </w:r>
      <w:proofErr w:type="spellEnd"/>
      <w:r w:rsidRPr="003279FA">
        <w:t xml:space="preserve"> Trust, and presentation at national and international conferences.</w:t>
      </w:r>
    </w:p>
    <w:p w14:paraId="02E6E05B" w14:textId="117C6E24" w:rsidR="000332A3" w:rsidRPr="003279FA" w:rsidRDefault="00CC093C" w:rsidP="007F47D0">
      <w:pPr>
        <w:pStyle w:val="Heading1"/>
      </w:pPr>
      <w:bookmarkStart w:id="192" w:name="ref-Albright2008Evidence"/>
      <w:bookmarkStart w:id="193" w:name="refs"/>
      <w:r w:rsidRPr="003279FA">
        <w:br w:type="page"/>
      </w:r>
      <w:bookmarkStart w:id="194" w:name="_Toc156378729"/>
      <w:bookmarkStart w:id="195" w:name="_Toc181256607"/>
      <w:r w:rsidR="000332A3" w:rsidRPr="7706D474">
        <w:lastRenderedPageBreak/>
        <w:t>References</w:t>
      </w:r>
      <w:bookmarkEnd w:id="194"/>
      <w:bookmarkEnd w:id="195"/>
    </w:p>
    <w:p w14:paraId="6E39AF7D" w14:textId="77777777" w:rsidR="00FF2DC5" w:rsidRPr="00CD414A" w:rsidRDefault="00577725" w:rsidP="00EF5657">
      <w:pPr>
        <w:pStyle w:val="Bibliography"/>
        <w:rPr>
          <w:sz w:val="20"/>
        </w:rPr>
      </w:pPr>
      <w:r w:rsidRPr="00CD414A">
        <w:rPr>
          <w:sz w:val="20"/>
        </w:rPr>
        <w:t xml:space="preserve">Albright, F. S., P. Orlando, A. T. Pavia, G. G. Jackson, and L. A. Cannon Albright. 2008. “Evidence for a Heritable Predisposition to Death Due to Influenza.” </w:t>
      </w:r>
      <w:r w:rsidRPr="00CD414A">
        <w:rPr>
          <w:i/>
          <w:sz w:val="20"/>
        </w:rPr>
        <w:t>J Infect Dis</w:t>
      </w:r>
      <w:r w:rsidRPr="00CD414A">
        <w:rPr>
          <w:sz w:val="20"/>
        </w:rPr>
        <w:t xml:space="preserve"> 197 (1): 18–24.</w:t>
      </w:r>
    </w:p>
    <w:p w14:paraId="360E439A" w14:textId="20B5CF4D" w:rsidR="00FF2DC5" w:rsidRPr="00CD414A" w:rsidRDefault="00577725" w:rsidP="00EF5657">
      <w:pPr>
        <w:pStyle w:val="Bibliography"/>
        <w:rPr>
          <w:sz w:val="20"/>
        </w:rPr>
      </w:pPr>
      <w:bookmarkStart w:id="196" w:name="ref-Angus2013Severe"/>
      <w:bookmarkEnd w:id="192"/>
      <w:r w:rsidRPr="00CD414A">
        <w:rPr>
          <w:sz w:val="20"/>
        </w:rPr>
        <w:t xml:space="preserve">Angus, Derek C., and Tom van der Poll. 2013. “Severe Sepsis and Septic Shock.” </w:t>
      </w:r>
      <w:r w:rsidRPr="00CD414A">
        <w:rPr>
          <w:i/>
          <w:sz w:val="20"/>
        </w:rPr>
        <w:t>New England Journal of Medicine</w:t>
      </w:r>
      <w:r w:rsidRPr="00CD414A">
        <w:rPr>
          <w:sz w:val="20"/>
        </w:rPr>
        <w:t xml:space="preserve"> 369 (9): 840–51. </w:t>
      </w:r>
      <w:hyperlink r:id="rId24">
        <w:r w:rsidRPr="00CD414A">
          <w:rPr>
            <w:rStyle w:val="Hyperlink"/>
            <w:color w:val="000000" w:themeColor="text1"/>
            <w:sz w:val="20"/>
            <w:szCs w:val="20"/>
          </w:rPr>
          <w:t>https://doi.org/10.1056/NEJMra1208623</w:t>
        </w:r>
      </w:hyperlink>
      <w:r w:rsidR="00C36246">
        <w:rPr>
          <w:sz w:val="20"/>
        </w:rPr>
        <w:t xml:space="preserve"> </w:t>
      </w:r>
    </w:p>
    <w:p w14:paraId="5C4438CB" w14:textId="455003ED" w:rsidR="00FF2DC5" w:rsidRPr="00CD414A" w:rsidRDefault="00577725" w:rsidP="00EF5657">
      <w:pPr>
        <w:pStyle w:val="Bibliography"/>
        <w:rPr>
          <w:sz w:val="20"/>
        </w:rPr>
      </w:pPr>
      <w:bookmarkStart w:id="197" w:name="ref-Baillie2014Targeting"/>
      <w:bookmarkEnd w:id="196"/>
      <w:r w:rsidRPr="00CD414A">
        <w:rPr>
          <w:sz w:val="20"/>
        </w:rPr>
        <w:t xml:space="preserve">Baillie, J. K. 2014. “Targeting the Host Immune Response to Fight Infection.” </w:t>
      </w:r>
      <w:r w:rsidRPr="00CD414A">
        <w:rPr>
          <w:i/>
          <w:sz w:val="20"/>
        </w:rPr>
        <w:t>Science</w:t>
      </w:r>
      <w:r w:rsidRPr="00CD414A">
        <w:rPr>
          <w:sz w:val="20"/>
        </w:rPr>
        <w:t xml:space="preserve"> 344 (6186): 807–8. </w:t>
      </w:r>
      <w:hyperlink r:id="rId25">
        <w:r w:rsidRPr="00CD414A">
          <w:rPr>
            <w:rStyle w:val="Hyperlink"/>
            <w:color w:val="000000" w:themeColor="text1"/>
            <w:sz w:val="20"/>
            <w:szCs w:val="20"/>
          </w:rPr>
          <w:t>https://doi.org/10.1126/science.1255074</w:t>
        </w:r>
      </w:hyperlink>
    </w:p>
    <w:p w14:paraId="4043B962" w14:textId="77777777" w:rsidR="00FF2DC5" w:rsidRPr="00CD414A" w:rsidRDefault="00577725" w:rsidP="00EF5657">
      <w:pPr>
        <w:pStyle w:val="Bibliography"/>
        <w:rPr>
          <w:sz w:val="20"/>
        </w:rPr>
      </w:pPr>
      <w:bookmarkStart w:id="198" w:name="ref-Blow2004Virus"/>
      <w:bookmarkEnd w:id="197"/>
      <w:r w:rsidRPr="00CD414A">
        <w:rPr>
          <w:sz w:val="20"/>
        </w:rPr>
        <w:t xml:space="preserve">Blow, Jamie A., David J. </w:t>
      </w:r>
      <w:proofErr w:type="spellStart"/>
      <w:r w:rsidRPr="00CD414A">
        <w:rPr>
          <w:sz w:val="20"/>
        </w:rPr>
        <w:t>Dohm</w:t>
      </w:r>
      <w:proofErr w:type="spellEnd"/>
      <w:r w:rsidRPr="00CD414A">
        <w:rPr>
          <w:sz w:val="20"/>
        </w:rPr>
        <w:t xml:space="preserve">, Diane L. </w:t>
      </w:r>
      <w:proofErr w:type="spellStart"/>
      <w:r w:rsidRPr="00CD414A">
        <w:rPr>
          <w:sz w:val="20"/>
        </w:rPr>
        <w:t>Negley</w:t>
      </w:r>
      <w:proofErr w:type="spellEnd"/>
      <w:r w:rsidRPr="00CD414A">
        <w:rPr>
          <w:sz w:val="20"/>
        </w:rPr>
        <w:t xml:space="preserve">, and Christopher N. Mores. 2004. “Virus Inactivation by Nucleic Acid Extraction Reagents.” </w:t>
      </w:r>
      <w:r w:rsidRPr="00CD414A">
        <w:rPr>
          <w:i/>
          <w:sz w:val="20"/>
        </w:rPr>
        <w:t>Journal of Virological Methods</w:t>
      </w:r>
      <w:r w:rsidRPr="00CD414A">
        <w:rPr>
          <w:sz w:val="20"/>
        </w:rPr>
        <w:t xml:space="preserve"> 119 (2): 195–98. </w:t>
      </w:r>
      <w:hyperlink r:id="rId26">
        <w:r w:rsidRPr="00CD414A">
          <w:rPr>
            <w:rStyle w:val="Hyperlink"/>
            <w:color w:val="000000" w:themeColor="text1"/>
            <w:sz w:val="20"/>
            <w:szCs w:val="20"/>
          </w:rPr>
          <w:t>https://doi.org/10.1016/j.jviromet.2004.03.015</w:t>
        </w:r>
      </w:hyperlink>
      <w:r w:rsidRPr="00CD414A">
        <w:rPr>
          <w:sz w:val="20"/>
        </w:rPr>
        <w:t>.</w:t>
      </w:r>
    </w:p>
    <w:p w14:paraId="012BC530" w14:textId="52F8D46C" w:rsidR="00FF2DC5" w:rsidRPr="00CD414A" w:rsidRDefault="00577725" w:rsidP="00EF5657">
      <w:pPr>
        <w:pStyle w:val="Bibliography"/>
        <w:rPr>
          <w:sz w:val="20"/>
        </w:rPr>
      </w:pPr>
      <w:bookmarkStart w:id="199" w:name="ref-Casanova2013Genetic"/>
      <w:bookmarkEnd w:id="198"/>
      <w:r w:rsidRPr="00CD414A">
        <w:rPr>
          <w:sz w:val="20"/>
        </w:rPr>
        <w:t xml:space="preserve">Casanova, Jean-Laurent, and Laurent Abel. 2013. “The Genetic Theory of Infectious Diseases: A Brief History and Selected Illustrations.” </w:t>
      </w:r>
      <w:r w:rsidRPr="00CD414A">
        <w:rPr>
          <w:i/>
          <w:sz w:val="20"/>
        </w:rPr>
        <w:t>Annual Review of Genomics and Human Genetics</w:t>
      </w:r>
      <w:r w:rsidRPr="00CD414A">
        <w:rPr>
          <w:sz w:val="20"/>
        </w:rPr>
        <w:t xml:space="preserve"> 14 (1): 215–43. </w:t>
      </w:r>
      <w:hyperlink r:id="rId27">
        <w:r w:rsidRPr="00CD414A">
          <w:rPr>
            <w:rStyle w:val="Hyperlink"/>
            <w:color w:val="000000" w:themeColor="text1"/>
            <w:sz w:val="20"/>
            <w:szCs w:val="20"/>
          </w:rPr>
          <w:t>https://doi.org/10.1146/annurev-genom-091212-153448</w:t>
        </w:r>
      </w:hyperlink>
      <w:r w:rsidRPr="00CD414A">
        <w:rPr>
          <w:sz w:val="20"/>
        </w:rPr>
        <w:t>.</w:t>
      </w:r>
    </w:p>
    <w:p w14:paraId="07387B16" w14:textId="77777777" w:rsidR="00FF2DC5" w:rsidRPr="00CD414A" w:rsidRDefault="00577725" w:rsidP="00EF5657">
      <w:pPr>
        <w:pStyle w:val="Bibliography"/>
        <w:rPr>
          <w:sz w:val="20"/>
        </w:rPr>
      </w:pPr>
      <w:bookmarkStart w:id="200" w:name="ref-Dunning2014Open"/>
      <w:bookmarkEnd w:id="199"/>
      <w:r w:rsidRPr="00CD414A">
        <w:rPr>
          <w:sz w:val="20"/>
        </w:rPr>
        <w:t xml:space="preserve">Dunning, Jake W., Laura Merson, Gernot G. U. Rohde, </w:t>
      </w:r>
      <w:proofErr w:type="spellStart"/>
      <w:r w:rsidRPr="00CD414A">
        <w:rPr>
          <w:sz w:val="20"/>
        </w:rPr>
        <w:t>Zhancheng</w:t>
      </w:r>
      <w:proofErr w:type="spellEnd"/>
      <w:r w:rsidRPr="00CD414A">
        <w:rPr>
          <w:sz w:val="20"/>
        </w:rPr>
        <w:t xml:space="preserve"> Gao, Malcolm G. Semple, </w:t>
      </w:r>
      <w:proofErr w:type="spellStart"/>
      <w:r w:rsidRPr="00CD414A">
        <w:rPr>
          <w:sz w:val="20"/>
        </w:rPr>
        <w:t>Dat</w:t>
      </w:r>
      <w:proofErr w:type="spellEnd"/>
      <w:r w:rsidRPr="00CD414A">
        <w:rPr>
          <w:sz w:val="20"/>
        </w:rPr>
        <w:t xml:space="preserve"> Tran, Anthony Gordon, et al. 2014. “</w:t>
      </w:r>
      <w:proofErr w:type="gramStart"/>
      <w:r w:rsidRPr="00CD414A">
        <w:rPr>
          <w:sz w:val="20"/>
        </w:rPr>
        <w:t>Open Source</w:t>
      </w:r>
      <w:proofErr w:type="gramEnd"/>
      <w:r w:rsidRPr="00CD414A">
        <w:rPr>
          <w:sz w:val="20"/>
        </w:rPr>
        <w:t xml:space="preserve"> Clinical Science for Emerging Infections.” </w:t>
      </w:r>
      <w:r w:rsidRPr="00CD414A">
        <w:rPr>
          <w:i/>
          <w:sz w:val="20"/>
        </w:rPr>
        <w:t>The Lancet Infectious Diseases</w:t>
      </w:r>
      <w:r w:rsidRPr="00CD414A">
        <w:rPr>
          <w:sz w:val="20"/>
        </w:rPr>
        <w:t xml:space="preserve"> 14 (1): 8–9. </w:t>
      </w:r>
      <w:hyperlink r:id="rId28">
        <w:r w:rsidRPr="00CD414A">
          <w:rPr>
            <w:rStyle w:val="Hyperlink"/>
            <w:color w:val="000000" w:themeColor="text1"/>
            <w:sz w:val="20"/>
            <w:szCs w:val="20"/>
          </w:rPr>
          <w:t>https://doi.org/10.1016/S1473-3099(13)70327-X</w:t>
        </w:r>
      </w:hyperlink>
      <w:r w:rsidRPr="00CD414A">
        <w:rPr>
          <w:sz w:val="20"/>
        </w:rPr>
        <w:t>.</w:t>
      </w:r>
    </w:p>
    <w:p w14:paraId="1CD6BAC3" w14:textId="77777777" w:rsidR="00FF2DC5" w:rsidRPr="00CD414A" w:rsidRDefault="00577725" w:rsidP="00EF5657">
      <w:pPr>
        <w:pStyle w:val="Bibliography"/>
        <w:rPr>
          <w:sz w:val="20"/>
        </w:rPr>
      </w:pPr>
      <w:bookmarkStart w:id="201" w:name="ref-Glass2006Ccr5"/>
      <w:bookmarkEnd w:id="200"/>
      <w:r w:rsidRPr="00CD414A">
        <w:rPr>
          <w:sz w:val="20"/>
        </w:rPr>
        <w:t xml:space="preserve">Glass, William G., David H. McDermott, Jean K. Lim, </w:t>
      </w:r>
      <w:proofErr w:type="spellStart"/>
      <w:r w:rsidRPr="00CD414A">
        <w:rPr>
          <w:sz w:val="20"/>
        </w:rPr>
        <w:t>Sudkamon</w:t>
      </w:r>
      <w:proofErr w:type="spellEnd"/>
      <w:r w:rsidRPr="00CD414A">
        <w:rPr>
          <w:sz w:val="20"/>
        </w:rPr>
        <w:t xml:space="preserve"> </w:t>
      </w:r>
      <w:proofErr w:type="spellStart"/>
      <w:r w:rsidRPr="00CD414A">
        <w:rPr>
          <w:sz w:val="20"/>
        </w:rPr>
        <w:t>Lekhong</w:t>
      </w:r>
      <w:proofErr w:type="spellEnd"/>
      <w:r w:rsidRPr="00CD414A">
        <w:rPr>
          <w:sz w:val="20"/>
        </w:rPr>
        <w:t xml:space="preserve">, </w:t>
      </w:r>
      <w:proofErr w:type="spellStart"/>
      <w:r w:rsidRPr="00CD414A">
        <w:rPr>
          <w:sz w:val="20"/>
        </w:rPr>
        <w:t>Shuk</w:t>
      </w:r>
      <w:proofErr w:type="spellEnd"/>
      <w:r w:rsidRPr="00CD414A">
        <w:rPr>
          <w:sz w:val="20"/>
        </w:rPr>
        <w:t xml:space="preserve"> Fong Yu, William A. Frank, John Pape, Ronald C. </w:t>
      </w:r>
      <w:proofErr w:type="spellStart"/>
      <w:r w:rsidRPr="00CD414A">
        <w:rPr>
          <w:sz w:val="20"/>
        </w:rPr>
        <w:t>Cheshier</w:t>
      </w:r>
      <w:proofErr w:type="spellEnd"/>
      <w:r w:rsidRPr="00CD414A">
        <w:rPr>
          <w:sz w:val="20"/>
        </w:rPr>
        <w:t xml:space="preserve">, and Philip M. Murphy. 2006. “CCR5 Deficiency Increases Risk of Symptomatic West Nile Virus Infection.” </w:t>
      </w:r>
      <w:r w:rsidRPr="00CD414A">
        <w:rPr>
          <w:i/>
          <w:sz w:val="20"/>
        </w:rPr>
        <w:t>J. Exp. Med.</w:t>
      </w:r>
      <w:r w:rsidRPr="00CD414A">
        <w:rPr>
          <w:sz w:val="20"/>
        </w:rPr>
        <w:t xml:space="preserve"> 203 (1): 35–40. </w:t>
      </w:r>
      <w:hyperlink r:id="rId29">
        <w:r w:rsidRPr="00CD414A">
          <w:rPr>
            <w:rStyle w:val="Hyperlink"/>
            <w:color w:val="000000" w:themeColor="text1"/>
            <w:sz w:val="20"/>
            <w:szCs w:val="20"/>
          </w:rPr>
          <w:t>https://doi.org/10.1084/jem.20051970</w:t>
        </w:r>
      </w:hyperlink>
      <w:r w:rsidRPr="00CD414A">
        <w:rPr>
          <w:sz w:val="20"/>
        </w:rPr>
        <w:t>.</w:t>
      </w:r>
    </w:p>
    <w:p w14:paraId="74C7798E" w14:textId="77777777" w:rsidR="006D1352" w:rsidRPr="00CD414A" w:rsidRDefault="00B41C14" w:rsidP="00EF5657">
      <w:pPr>
        <w:pStyle w:val="Bibliography"/>
        <w:rPr>
          <w:sz w:val="20"/>
        </w:rPr>
      </w:pPr>
      <w:r w:rsidRPr="00CD414A">
        <w:rPr>
          <w:sz w:val="20"/>
        </w:rPr>
        <w:t xml:space="preserve">Harris M, Clark J, </w:t>
      </w:r>
      <w:proofErr w:type="spellStart"/>
      <w:r w:rsidRPr="00CD414A">
        <w:rPr>
          <w:sz w:val="20"/>
        </w:rPr>
        <w:t>Coote</w:t>
      </w:r>
      <w:proofErr w:type="spellEnd"/>
      <w:r w:rsidRPr="00CD414A">
        <w:rPr>
          <w:sz w:val="20"/>
        </w:rPr>
        <w:t xml:space="preserve"> N, Fletcher P, </w:t>
      </w:r>
      <w:proofErr w:type="spellStart"/>
      <w:r w:rsidRPr="00CD414A">
        <w:rPr>
          <w:sz w:val="20"/>
        </w:rPr>
        <w:t>Harnden</w:t>
      </w:r>
      <w:proofErr w:type="spellEnd"/>
      <w:r w:rsidRPr="00CD414A">
        <w:rPr>
          <w:sz w:val="20"/>
        </w:rPr>
        <w:t xml:space="preserve"> A, McKean M, Thomson A; British Thoracic Society Standards of Care Committee. British Thoracic Society guidelines for the management of community acquired pneumonia in children: update 2011.</w:t>
      </w:r>
      <w:r w:rsidR="00F01E1B" w:rsidRPr="00CD414A">
        <w:rPr>
          <w:sz w:val="20"/>
        </w:rPr>
        <w:t xml:space="preserve"> </w:t>
      </w:r>
      <w:r w:rsidR="00F01E1B" w:rsidRPr="00CD414A">
        <w:rPr>
          <w:i/>
          <w:iCs/>
          <w:sz w:val="20"/>
        </w:rPr>
        <w:t>Thorax</w:t>
      </w:r>
      <w:r w:rsidR="00A31AE7" w:rsidRPr="00CD414A">
        <w:rPr>
          <w:sz w:val="20"/>
        </w:rPr>
        <w:t xml:space="preserve"> </w:t>
      </w:r>
      <w:r w:rsidR="00F01E1B" w:rsidRPr="00CD414A">
        <w:rPr>
          <w:sz w:val="20"/>
        </w:rPr>
        <w:t>66</w:t>
      </w:r>
      <w:r w:rsidR="00462CDE" w:rsidRPr="00CD414A">
        <w:rPr>
          <w:sz w:val="20"/>
        </w:rPr>
        <w:t>(</w:t>
      </w:r>
      <w:proofErr w:type="spellStart"/>
      <w:r w:rsidR="00F01E1B" w:rsidRPr="00CD414A">
        <w:rPr>
          <w:sz w:val="20"/>
        </w:rPr>
        <w:t>Suppl</w:t>
      </w:r>
      <w:proofErr w:type="spellEnd"/>
      <w:r w:rsidR="00F01E1B" w:rsidRPr="00CD414A">
        <w:rPr>
          <w:sz w:val="20"/>
        </w:rPr>
        <w:t xml:space="preserve"> 2</w:t>
      </w:r>
      <w:proofErr w:type="gramStart"/>
      <w:r w:rsidR="00462CDE" w:rsidRPr="00CD414A">
        <w:rPr>
          <w:sz w:val="20"/>
        </w:rPr>
        <w:t>)</w:t>
      </w:r>
      <w:r w:rsidR="00F01E1B" w:rsidRPr="00CD414A">
        <w:rPr>
          <w:sz w:val="20"/>
        </w:rPr>
        <w:t>:ii</w:t>
      </w:r>
      <w:proofErr w:type="gramEnd"/>
      <w:r w:rsidR="00F01E1B" w:rsidRPr="00CD414A">
        <w:rPr>
          <w:sz w:val="20"/>
        </w:rPr>
        <w:t xml:space="preserve">1-23. </w:t>
      </w:r>
      <w:hyperlink r:id="rId30" w:history="1">
        <w:r w:rsidR="006D1352" w:rsidRPr="00CD414A">
          <w:rPr>
            <w:rStyle w:val="Hyperlink"/>
            <w:color w:val="000000" w:themeColor="text1"/>
            <w:sz w:val="20"/>
            <w:szCs w:val="20"/>
          </w:rPr>
          <w:t>https://doi.org/10.1136/thoraxjnl-2011-200598</w:t>
        </w:r>
      </w:hyperlink>
    </w:p>
    <w:p w14:paraId="238F3350" w14:textId="18DE43C1" w:rsidR="00FF2DC5" w:rsidRPr="00CD414A" w:rsidRDefault="00577725" w:rsidP="00EF5657">
      <w:pPr>
        <w:pStyle w:val="Bibliography"/>
        <w:rPr>
          <w:sz w:val="20"/>
        </w:rPr>
      </w:pPr>
      <w:bookmarkStart w:id="202" w:name="ref-Huang1996Role"/>
      <w:bookmarkEnd w:id="201"/>
      <w:r w:rsidRPr="00CD414A">
        <w:rPr>
          <w:sz w:val="20"/>
        </w:rPr>
        <w:t xml:space="preserve">Huang, Y, W A Paxton, S M </w:t>
      </w:r>
      <w:proofErr w:type="spellStart"/>
      <w:r w:rsidRPr="00CD414A">
        <w:rPr>
          <w:sz w:val="20"/>
        </w:rPr>
        <w:t>Wolinsky</w:t>
      </w:r>
      <w:proofErr w:type="spellEnd"/>
      <w:r w:rsidRPr="00CD414A">
        <w:rPr>
          <w:sz w:val="20"/>
        </w:rPr>
        <w:t xml:space="preserve">, A U Neumann, L Zhang, T He, S Kang, et al. 1996. “The Role of a Mutant Ccr5 Allele in Hiv-1 Transmission and Disease Progression.” </w:t>
      </w:r>
      <w:r w:rsidRPr="00CD414A">
        <w:rPr>
          <w:i/>
          <w:sz w:val="20"/>
        </w:rPr>
        <w:t>Nature Medicine</w:t>
      </w:r>
      <w:r w:rsidRPr="00CD414A">
        <w:rPr>
          <w:sz w:val="20"/>
        </w:rPr>
        <w:t xml:space="preserve"> 2 (11): 1240–3. </w:t>
      </w:r>
      <w:hyperlink r:id="rId31">
        <w:r w:rsidRPr="00CD414A">
          <w:rPr>
            <w:rStyle w:val="Hyperlink"/>
            <w:color w:val="000000" w:themeColor="text1"/>
            <w:sz w:val="20"/>
            <w:szCs w:val="20"/>
          </w:rPr>
          <w:t>http://www.ncbi.nlm.nih.gov/pubmed/8898752</w:t>
        </w:r>
      </w:hyperlink>
      <w:r w:rsidRPr="00CD414A">
        <w:rPr>
          <w:sz w:val="20"/>
        </w:rPr>
        <w:t>.</w:t>
      </w:r>
    </w:p>
    <w:p w14:paraId="21D9F757" w14:textId="27166563" w:rsidR="00F158B8" w:rsidRPr="00CD414A" w:rsidRDefault="00F158B8" w:rsidP="00572A93">
      <w:pPr>
        <w:spacing w:before="0" w:after="0" w:line="240" w:lineRule="auto"/>
        <w:rPr>
          <w:rFonts w:ascii="Times New Roman" w:eastAsia="Times New Roman" w:hAnsi="Times New Roman" w:cs="Times New Roman"/>
          <w:sz w:val="20"/>
          <w:lang w:eastAsia="en-GB"/>
        </w:rPr>
      </w:pPr>
      <w:proofErr w:type="spellStart"/>
      <w:r w:rsidRPr="00CD414A">
        <w:rPr>
          <w:sz w:val="20"/>
        </w:rPr>
        <w:t>Kousathanas</w:t>
      </w:r>
      <w:proofErr w:type="spellEnd"/>
      <w:r w:rsidRPr="00CD414A">
        <w:rPr>
          <w:sz w:val="20"/>
        </w:rPr>
        <w:t xml:space="preserve"> A, </w:t>
      </w:r>
      <w:proofErr w:type="spellStart"/>
      <w:r w:rsidRPr="00CD414A">
        <w:rPr>
          <w:sz w:val="20"/>
        </w:rPr>
        <w:t>Pairo-Castineira</w:t>
      </w:r>
      <w:proofErr w:type="spellEnd"/>
      <w:r w:rsidRPr="00CD414A">
        <w:rPr>
          <w:sz w:val="20"/>
        </w:rPr>
        <w:t xml:space="preserve"> E, </w:t>
      </w:r>
      <w:proofErr w:type="spellStart"/>
      <w:r w:rsidRPr="00CD414A">
        <w:rPr>
          <w:sz w:val="20"/>
        </w:rPr>
        <w:t>Rawlik</w:t>
      </w:r>
      <w:proofErr w:type="spellEnd"/>
      <w:r w:rsidRPr="00CD414A">
        <w:rPr>
          <w:sz w:val="20"/>
        </w:rPr>
        <w:t xml:space="preserve"> K, Stuckey A, </w:t>
      </w:r>
      <w:proofErr w:type="spellStart"/>
      <w:r w:rsidRPr="00CD414A">
        <w:rPr>
          <w:sz w:val="20"/>
        </w:rPr>
        <w:t>Odhams</w:t>
      </w:r>
      <w:proofErr w:type="spellEnd"/>
      <w:r w:rsidRPr="00CD414A">
        <w:rPr>
          <w:sz w:val="20"/>
        </w:rPr>
        <w:t xml:space="preserve"> CA, Walker S, Russell CD, </w:t>
      </w:r>
      <w:proofErr w:type="spellStart"/>
      <w:r w:rsidRPr="00CD414A">
        <w:rPr>
          <w:sz w:val="20"/>
        </w:rPr>
        <w:t>Malinauskas</w:t>
      </w:r>
      <w:proofErr w:type="spellEnd"/>
      <w:r w:rsidRPr="00CD414A">
        <w:rPr>
          <w:sz w:val="20"/>
        </w:rPr>
        <w:t xml:space="preserve"> T, Wu Y, Millar J, Shen X, Elliott KS, Griffiths F, </w:t>
      </w:r>
      <w:proofErr w:type="spellStart"/>
      <w:r w:rsidRPr="00CD414A">
        <w:rPr>
          <w:sz w:val="20"/>
        </w:rPr>
        <w:t>Oosthuyzen</w:t>
      </w:r>
      <w:proofErr w:type="spellEnd"/>
      <w:r w:rsidRPr="00CD414A">
        <w:rPr>
          <w:sz w:val="20"/>
        </w:rPr>
        <w:t xml:space="preserve"> W, Morrice K, Keating S, Wang B, Rhodes D, </w:t>
      </w:r>
      <w:proofErr w:type="spellStart"/>
      <w:r w:rsidRPr="00CD414A">
        <w:rPr>
          <w:sz w:val="20"/>
        </w:rPr>
        <w:t>Klaric</w:t>
      </w:r>
      <w:proofErr w:type="spellEnd"/>
      <w:r w:rsidRPr="00CD414A">
        <w:rPr>
          <w:sz w:val="20"/>
        </w:rPr>
        <w:t xml:space="preserve"> L, </w:t>
      </w:r>
      <w:proofErr w:type="spellStart"/>
      <w:r w:rsidRPr="00CD414A">
        <w:rPr>
          <w:sz w:val="20"/>
        </w:rPr>
        <w:t>Zechner</w:t>
      </w:r>
      <w:proofErr w:type="spellEnd"/>
      <w:r w:rsidRPr="00CD414A">
        <w:rPr>
          <w:sz w:val="20"/>
        </w:rPr>
        <w:t xml:space="preserve"> M, Parkinson N, Siddiq A, Goddard P, Donovan S, </w:t>
      </w:r>
      <w:proofErr w:type="spellStart"/>
      <w:r w:rsidRPr="00CD414A">
        <w:rPr>
          <w:sz w:val="20"/>
        </w:rPr>
        <w:t>Maslove</w:t>
      </w:r>
      <w:proofErr w:type="spellEnd"/>
      <w:r w:rsidRPr="00CD414A">
        <w:rPr>
          <w:sz w:val="20"/>
        </w:rPr>
        <w:t xml:space="preserve"> D, Nichol A, Semple MG, </w:t>
      </w:r>
      <w:proofErr w:type="spellStart"/>
      <w:r w:rsidRPr="00CD414A">
        <w:rPr>
          <w:sz w:val="20"/>
        </w:rPr>
        <w:t>Zainy</w:t>
      </w:r>
      <w:proofErr w:type="spellEnd"/>
      <w:r w:rsidRPr="00CD414A">
        <w:rPr>
          <w:sz w:val="20"/>
        </w:rPr>
        <w:t xml:space="preserve"> T, </w:t>
      </w:r>
      <w:proofErr w:type="spellStart"/>
      <w:r w:rsidRPr="00CD414A">
        <w:rPr>
          <w:sz w:val="20"/>
        </w:rPr>
        <w:t>Maleady</w:t>
      </w:r>
      <w:proofErr w:type="spellEnd"/>
      <w:r w:rsidRPr="00CD414A">
        <w:rPr>
          <w:sz w:val="20"/>
        </w:rPr>
        <w:t xml:space="preserve">-Crowe F, Todd L, Salehi S, Knight J, Elgar G, Chan G, Arumugam P, Patch C, Rendon A, Bentley D, Kingsley C, </w:t>
      </w:r>
      <w:proofErr w:type="spellStart"/>
      <w:r w:rsidRPr="00CD414A">
        <w:rPr>
          <w:sz w:val="20"/>
        </w:rPr>
        <w:t>Kosmicki</w:t>
      </w:r>
      <w:proofErr w:type="spellEnd"/>
      <w:r w:rsidRPr="00CD414A">
        <w:rPr>
          <w:sz w:val="20"/>
        </w:rPr>
        <w:t xml:space="preserve"> JA, Horowitz JE, </w:t>
      </w:r>
      <w:proofErr w:type="spellStart"/>
      <w:r w:rsidRPr="00CD414A">
        <w:rPr>
          <w:sz w:val="20"/>
        </w:rPr>
        <w:t>Baras</w:t>
      </w:r>
      <w:proofErr w:type="spellEnd"/>
      <w:r w:rsidRPr="00CD414A">
        <w:rPr>
          <w:sz w:val="20"/>
        </w:rPr>
        <w:t xml:space="preserve"> A, </w:t>
      </w:r>
      <w:proofErr w:type="spellStart"/>
      <w:r w:rsidRPr="00CD414A">
        <w:rPr>
          <w:sz w:val="20"/>
        </w:rPr>
        <w:t>Abecasis</w:t>
      </w:r>
      <w:proofErr w:type="spellEnd"/>
      <w:r w:rsidRPr="00CD414A">
        <w:rPr>
          <w:sz w:val="20"/>
        </w:rPr>
        <w:t xml:space="preserve"> GR, Ferreira MAR, Justice A, </w:t>
      </w:r>
      <w:proofErr w:type="spellStart"/>
      <w:r w:rsidRPr="00CD414A">
        <w:rPr>
          <w:sz w:val="20"/>
        </w:rPr>
        <w:t>Mirshahi</w:t>
      </w:r>
      <w:proofErr w:type="spellEnd"/>
      <w:r w:rsidRPr="00CD414A">
        <w:rPr>
          <w:sz w:val="20"/>
        </w:rPr>
        <w:t xml:space="preserve"> T, </w:t>
      </w:r>
      <w:proofErr w:type="spellStart"/>
      <w:r w:rsidRPr="00CD414A">
        <w:rPr>
          <w:sz w:val="20"/>
        </w:rPr>
        <w:t>Oetjens</w:t>
      </w:r>
      <w:proofErr w:type="spellEnd"/>
      <w:r w:rsidRPr="00CD414A">
        <w:rPr>
          <w:sz w:val="20"/>
        </w:rPr>
        <w:t xml:space="preserve"> M, Rader DJ, Ritchie MD, Verma A, Fowler TA, Shankar-Hari M, Summers C, Hinds C, </w:t>
      </w:r>
      <w:proofErr w:type="spellStart"/>
      <w:r w:rsidRPr="00CD414A">
        <w:rPr>
          <w:sz w:val="20"/>
        </w:rPr>
        <w:t>Horby</w:t>
      </w:r>
      <w:proofErr w:type="spellEnd"/>
      <w:r w:rsidRPr="00CD414A">
        <w:rPr>
          <w:sz w:val="20"/>
        </w:rPr>
        <w:t xml:space="preserve"> P, Ling L, McAuley D, Montgomery H, Openshaw PJM, Elliott P, Walsh T, </w:t>
      </w:r>
      <w:proofErr w:type="spellStart"/>
      <w:r w:rsidRPr="00CD414A">
        <w:rPr>
          <w:sz w:val="20"/>
        </w:rPr>
        <w:t>Tenesa</w:t>
      </w:r>
      <w:proofErr w:type="spellEnd"/>
      <w:r w:rsidRPr="00CD414A">
        <w:rPr>
          <w:sz w:val="20"/>
        </w:rPr>
        <w:t xml:space="preserve"> A; GenOMICC investigators; 23andMe investigators; COVID-19 Human Genetics Initiative; Fawkes A, Murphy L, Rowan K, Ponting CP, </w:t>
      </w:r>
      <w:proofErr w:type="spellStart"/>
      <w:r w:rsidRPr="00CD414A">
        <w:rPr>
          <w:sz w:val="20"/>
        </w:rPr>
        <w:t>Vitart</w:t>
      </w:r>
      <w:proofErr w:type="spellEnd"/>
      <w:r w:rsidRPr="00CD414A">
        <w:rPr>
          <w:sz w:val="20"/>
        </w:rPr>
        <w:t xml:space="preserve"> V, Wilson JF, Yang J, </w:t>
      </w:r>
      <w:proofErr w:type="spellStart"/>
      <w:r w:rsidRPr="00CD414A">
        <w:rPr>
          <w:sz w:val="20"/>
        </w:rPr>
        <w:t>Bretherick</w:t>
      </w:r>
      <w:proofErr w:type="spellEnd"/>
      <w:r w:rsidRPr="00CD414A">
        <w:rPr>
          <w:sz w:val="20"/>
        </w:rPr>
        <w:t xml:space="preserve"> AD, Scott RH, Hendry SC, </w:t>
      </w:r>
      <w:proofErr w:type="spellStart"/>
      <w:r w:rsidRPr="00CD414A">
        <w:rPr>
          <w:sz w:val="20"/>
        </w:rPr>
        <w:t>Moutsianas</w:t>
      </w:r>
      <w:proofErr w:type="spellEnd"/>
      <w:r w:rsidRPr="00CD414A">
        <w:rPr>
          <w:sz w:val="20"/>
        </w:rPr>
        <w:t xml:space="preserve"> L, Law A, Caulfield MJ, Baillie JK. Whole-genome sequencing reveals host factors underlying critical COVID-19. Nature. 2022 Jul;607(7917):97-103. </w:t>
      </w:r>
      <w:r w:rsidRPr="00CD414A">
        <w:rPr>
          <w:b/>
          <w:bCs/>
          <w:sz w:val="20"/>
        </w:rPr>
        <w:t>https://doi.org/10.1038/s41586-022-04576-6</w:t>
      </w:r>
    </w:p>
    <w:p w14:paraId="47B04387" w14:textId="173A4F46" w:rsidR="00FF2DC5" w:rsidRPr="00CD414A" w:rsidRDefault="00577725" w:rsidP="00EF5657">
      <w:pPr>
        <w:pStyle w:val="Bibliography"/>
        <w:rPr>
          <w:sz w:val="20"/>
        </w:rPr>
      </w:pPr>
      <w:bookmarkStart w:id="203" w:name="ref-Lone2016FiveYear"/>
      <w:bookmarkEnd w:id="202"/>
      <w:r w:rsidRPr="00CD414A">
        <w:rPr>
          <w:sz w:val="20"/>
        </w:rPr>
        <w:t xml:space="preserve">Lone, Nazir I., Michael A. Gillies, Catriona Haddow, Richard Dobbie, Kathryn M. Rowan, Sarah H. Wild, Gordon D. Murray, and Timothy S. Walsh. 2016. “Five-Year Mortality and Hospital Costs Associated with </w:t>
      </w:r>
      <w:r w:rsidRPr="00CD414A">
        <w:rPr>
          <w:sz w:val="20"/>
        </w:rPr>
        <w:lastRenderedPageBreak/>
        <w:t xml:space="preserve">Surviving Intensive Care.” </w:t>
      </w:r>
      <w:r w:rsidRPr="00CD414A">
        <w:rPr>
          <w:i/>
          <w:sz w:val="20"/>
        </w:rPr>
        <w:t>American Journal of Respiratory and Critical Care Medicine</w:t>
      </w:r>
      <w:r w:rsidRPr="00CD414A">
        <w:rPr>
          <w:sz w:val="20"/>
        </w:rPr>
        <w:t xml:space="preserve"> 194 (2): 198–208. </w:t>
      </w:r>
      <w:hyperlink r:id="rId32">
        <w:r w:rsidRPr="00CD414A">
          <w:rPr>
            <w:rStyle w:val="Hyperlink"/>
            <w:color w:val="000000" w:themeColor="text1"/>
            <w:sz w:val="20"/>
            <w:szCs w:val="20"/>
          </w:rPr>
          <w:t>https://doi.org/10.1164/rccm.201511-2234OC</w:t>
        </w:r>
      </w:hyperlink>
      <w:r w:rsidR="00CD414A">
        <w:rPr>
          <w:rStyle w:val="Hyperlink"/>
          <w:color w:val="000000" w:themeColor="text1"/>
          <w:sz w:val="20"/>
          <w:szCs w:val="20"/>
        </w:rPr>
        <w:t xml:space="preserve"> </w:t>
      </w:r>
      <w:r w:rsidR="00CD414A">
        <w:rPr>
          <w:sz w:val="20"/>
        </w:rPr>
        <w:t xml:space="preserve"> </w:t>
      </w:r>
    </w:p>
    <w:p w14:paraId="501B661D" w14:textId="494F0116" w:rsidR="00FF2DC5" w:rsidRPr="00CD414A" w:rsidRDefault="00577725" w:rsidP="00EF5657">
      <w:pPr>
        <w:pStyle w:val="Bibliography"/>
        <w:rPr>
          <w:sz w:val="20"/>
        </w:rPr>
      </w:pPr>
      <w:bookmarkStart w:id="204" w:name="ref-Miller2010Incidence"/>
      <w:bookmarkEnd w:id="203"/>
      <w:r w:rsidRPr="00CD414A">
        <w:rPr>
          <w:sz w:val="20"/>
        </w:rPr>
        <w:t xml:space="preserve">Miller, Elizabeth, Katja </w:t>
      </w:r>
      <w:proofErr w:type="spellStart"/>
      <w:r w:rsidRPr="00CD414A">
        <w:rPr>
          <w:sz w:val="20"/>
        </w:rPr>
        <w:t>Hoschler</w:t>
      </w:r>
      <w:proofErr w:type="spellEnd"/>
      <w:r w:rsidRPr="00CD414A">
        <w:rPr>
          <w:sz w:val="20"/>
        </w:rPr>
        <w:t xml:space="preserve">, Pia </w:t>
      </w:r>
      <w:proofErr w:type="spellStart"/>
      <w:r w:rsidRPr="00CD414A">
        <w:rPr>
          <w:sz w:val="20"/>
        </w:rPr>
        <w:t>Hardelid</w:t>
      </w:r>
      <w:proofErr w:type="spellEnd"/>
      <w:r w:rsidRPr="00CD414A">
        <w:rPr>
          <w:sz w:val="20"/>
        </w:rPr>
        <w:t xml:space="preserve">, Elaine Stanford, Nick Andrews, and Maria </w:t>
      </w:r>
      <w:proofErr w:type="spellStart"/>
      <w:r w:rsidRPr="00CD414A">
        <w:rPr>
          <w:sz w:val="20"/>
        </w:rPr>
        <w:t>Zambon</w:t>
      </w:r>
      <w:proofErr w:type="spellEnd"/>
      <w:r w:rsidRPr="00CD414A">
        <w:rPr>
          <w:sz w:val="20"/>
        </w:rPr>
        <w:t xml:space="preserve">. 2010. “Incidence of 2009 Pandemic Influenza a H1n1 Infection in England: A Cross-Sectional Serological Study.” </w:t>
      </w:r>
      <w:r w:rsidRPr="00CD414A">
        <w:rPr>
          <w:i/>
          <w:sz w:val="20"/>
        </w:rPr>
        <w:t>The Lancet</w:t>
      </w:r>
      <w:r w:rsidRPr="00CD414A">
        <w:rPr>
          <w:sz w:val="20"/>
        </w:rPr>
        <w:t xml:space="preserve"> 375 (9720): 1100–1108. </w:t>
      </w:r>
      <w:hyperlink r:id="rId33">
        <w:r w:rsidRPr="00CD414A">
          <w:rPr>
            <w:rStyle w:val="Hyperlink"/>
            <w:color w:val="000000" w:themeColor="text1"/>
            <w:sz w:val="20"/>
            <w:szCs w:val="20"/>
          </w:rPr>
          <w:t>https://doi.org/10.1016/S0140-6736(09)62126-7</w:t>
        </w:r>
      </w:hyperlink>
      <w:r w:rsidR="00CD414A">
        <w:rPr>
          <w:rStyle w:val="Hyperlink"/>
          <w:color w:val="000000" w:themeColor="text1"/>
          <w:sz w:val="20"/>
          <w:szCs w:val="20"/>
        </w:rPr>
        <w:t xml:space="preserve"> </w:t>
      </w:r>
      <w:r w:rsidR="00CD414A">
        <w:rPr>
          <w:sz w:val="20"/>
        </w:rPr>
        <w:t xml:space="preserve"> </w:t>
      </w:r>
    </w:p>
    <w:p w14:paraId="3043F088" w14:textId="3BDE7B3B" w:rsidR="00CD414A" w:rsidRPr="00CD414A" w:rsidRDefault="00CD414A" w:rsidP="00572A93">
      <w:pPr>
        <w:spacing w:before="0" w:after="0" w:line="240" w:lineRule="auto"/>
        <w:rPr>
          <w:sz w:val="20"/>
        </w:rPr>
      </w:pPr>
      <w:proofErr w:type="spellStart"/>
      <w:r w:rsidRPr="00CD414A">
        <w:rPr>
          <w:sz w:val="20"/>
        </w:rPr>
        <w:t>Pairo-Castineira</w:t>
      </w:r>
      <w:proofErr w:type="spellEnd"/>
      <w:r w:rsidRPr="00CD414A">
        <w:rPr>
          <w:sz w:val="20"/>
        </w:rPr>
        <w:t xml:space="preserve">, E., </w:t>
      </w:r>
      <w:proofErr w:type="spellStart"/>
      <w:r w:rsidRPr="00CD414A">
        <w:rPr>
          <w:sz w:val="20"/>
        </w:rPr>
        <w:t>Clohisey</w:t>
      </w:r>
      <w:proofErr w:type="spellEnd"/>
      <w:r w:rsidRPr="00CD414A">
        <w:rPr>
          <w:sz w:val="20"/>
        </w:rPr>
        <w:t xml:space="preserve">, S., </w:t>
      </w:r>
      <w:proofErr w:type="spellStart"/>
      <w:r w:rsidRPr="00CD414A">
        <w:rPr>
          <w:sz w:val="20"/>
        </w:rPr>
        <w:t>Klaric</w:t>
      </w:r>
      <w:proofErr w:type="spellEnd"/>
      <w:r w:rsidRPr="00CD414A">
        <w:rPr>
          <w:sz w:val="20"/>
        </w:rPr>
        <w:t xml:space="preserve">, L., </w:t>
      </w:r>
      <w:proofErr w:type="spellStart"/>
      <w:r w:rsidRPr="00CD414A">
        <w:rPr>
          <w:sz w:val="20"/>
        </w:rPr>
        <w:t>Bretherick</w:t>
      </w:r>
      <w:proofErr w:type="spellEnd"/>
      <w:r w:rsidRPr="00CD414A">
        <w:rPr>
          <w:sz w:val="20"/>
        </w:rPr>
        <w:t xml:space="preserve">, A.D., </w:t>
      </w:r>
      <w:proofErr w:type="spellStart"/>
      <w:r w:rsidRPr="00CD414A">
        <w:rPr>
          <w:sz w:val="20"/>
        </w:rPr>
        <w:t>Rawlik</w:t>
      </w:r>
      <w:proofErr w:type="spellEnd"/>
      <w:r w:rsidRPr="00CD414A">
        <w:rPr>
          <w:sz w:val="20"/>
        </w:rPr>
        <w:t xml:space="preserve">, K., </w:t>
      </w:r>
      <w:proofErr w:type="spellStart"/>
      <w:r w:rsidRPr="00CD414A">
        <w:rPr>
          <w:sz w:val="20"/>
        </w:rPr>
        <w:t>Pasko</w:t>
      </w:r>
      <w:proofErr w:type="spellEnd"/>
      <w:r w:rsidRPr="00CD414A">
        <w:rPr>
          <w:sz w:val="20"/>
        </w:rPr>
        <w:t xml:space="preserve">, D., Walker, S., Parkinson, N., </w:t>
      </w:r>
      <w:proofErr w:type="spellStart"/>
      <w:r w:rsidRPr="00CD414A">
        <w:rPr>
          <w:sz w:val="20"/>
        </w:rPr>
        <w:t>Fourman</w:t>
      </w:r>
      <w:proofErr w:type="spellEnd"/>
      <w:r w:rsidRPr="00CD414A">
        <w:rPr>
          <w:sz w:val="20"/>
        </w:rPr>
        <w:t xml:space="preserve">, M.H., Russell, C.D., Furniss, J., Richmond, A., </w:t>
      </w:r>
      <w:proofErr w:type="spellStart"/>
      <w:r w:rsidRPr="00CD414A">
        <w:rPr>
          <w:sz w:val="20"/>
        </w:rPr>
        <w:t>Gountouna</w:t>
      </w:r>
      <w:proofErr w:type="spellEnd"/>
      <w:r w:rsidRPr="00CD414A">
        <w:rPr>
          <w:sz w:val="20"/>
        </w:rPr>
        <w:t xml:space="preserve">, E., Wrobel, N., Harrison, D., Wang, B., Wu, Y., </w:t>
      </w:r>
      <w:proofErr w:type="spellStart"/>
      <w:r w:rsidRPr="00CD414A">
        <w:rPr>
          <w:sz w:val="20"/>
        </w:rPr>
        <w:t>Meynert</w:t>
      </w:r>
      <w:proofErr w:type="spellEnd"/>
      <w:r w:rsidRPr="00CD414A">
        <w:rPr>
          <w:sz w:val="20"/>
        </w:rPr>
        <w:t xml:space="preserve">, A., Griffiths, F., </w:t>
      </w:r>
      <w:proofErr w:type="spellStart"/>
      <w:r w:rsidRPr="00CD414A">
        <w:rPr>
          <w:sz w:val="20"/>
        </w:rPr>
        <w:t>Oosthuyzen</w:t>
      </w:r>
      <w:proofErr w:type="spellEnd"/>
      <w:r w:rsidRPr="00CD414A">
        <w:rPr>
          <w:sz w:val="20"/>
        </w:rPr>
        <w:t xml:space="preserve">, W., </w:t>
      </w:r>
      <w:proofErr w:type="spellStart"/>
      <w:r w:rsidRPr="00CD414A">
        <w:rPr>
          <w:sz w:val="20"/>
        </w:rPr>
        <w:t>Kousathanas</w:t>
      </w:r>
      <w:proofErr w:type="spellEnd"/>
      <w:r w:rsidRPr="00CD414A">
        <w:rPr>
          <w:sz w:val="20"/>
        </w:rPr>
        <w:t xml:space="preserve">, A., </w:t>
      </w:r>
      <w:proofErr w:type="spellStart"/>
      <w:r w:rsidRPr="00CD414A">
        <w:rPr>
          <w:sz w:val="20"/>
        </w:rPr>
        <w:t>Moutsianas</w:t>
      </w:r>
      <w:proofErr w:type="spellEnd"/>
      <w:r w:rsidRPr="00CD414A">
        <w:rPr>
          <w:sz w:val="20"/>
        </w:rPr>
        <w:t xml:space="preserve">, L., Yang, Z., </w:t>
      </w:r>
      <w:proofErr w:type="spellStart"/>
      <w:r w:rsidRPr="00CD414A">
        <w:rPr>
          <w:sz w:val="20"/>
        </w:rPr>
        <w:t>Zhai</w:t>
      </w:r>
      <w:proofErr w:type="spellEnd"/>
      <w:r w:rsidRPr="00CD414A">
        <w:rPr>
          <w:sz w:val="20"/>
        </w:rPr>
        <w:t xml:space="preserve">, R., Zheng, C., Grimes, G., Beale, R., Millar, J., Shih, B., Keating, S., </w:t>
      </w:r>
      <w:proofErr w:type="spellStart"/>
      <w:r w:rsidRPr="00CD414A">
        <w:rPr>
          <w:sz w:val="20"/>
        </w:rPr>
        <w:t>Zechner</w:t>
      </w:r>
      <w:proofErr w:type="spellEnd"/>
      <w:r w:rsidRPr="00CD414A">
        <w:rPr>
          <w:sz w:val="20"/>
        </w:rPr>
        <w:t xml:space="preserve">, M., Haley, C., Porteous, D.J., Hayward, C., Yang, J., Knight, J., Summers, C., </w:t>
      </w:r>
      <w:proofErr w:type="spellStart"/>
      <w:r w:rsidRPr="00CD414A">
        <w:rPr>
          <w:sz w:val="20"/>
        </w:rPr>
        <w:t>ShankarHari</w:t>
      </w:r>
      <w:proofErr w:type="spellEnd"/>
      <w:r w:rsidRPr="00CD414A">
        <w:rPr>
          <w:sz w:val="20"/>
        </w:rPr>
        <w:t xml:space="preserve">, M., </w:t>
      </w:r>
      <w:proofErr w:type="spellStart"/>
      <w:r w:rsidRPr="00CD414A">
        <w:rPr>
          <w:sz w:val="20"/>
        </w:rPr>
        <w:t>Klenerman</w:t>
      </w:r>
      <w:proofErr w:type="spellEnd"/>
      <w:r w:rsidRPr="00CD414A">
        <w:rPr>
          <w:sz w:val="20"/>
        </w:rPr>
        <w:t xml:space="preserve">, P., Turtle, L., Ho, A., Moore, S.C., Hinds, C., </w:t>
      </w:r>
      <w:proofErr w:type="spellStart"/>
      <w:r w:rsidRPr="00CD414A">
        <w:rPr>
          <w:sz w:val="20"/>
        </w:rPr>
        <w:t>Horby</w:t>
      </w:r>
      <w:proofErr w:type="spellEnd"/>
      <w:r w:rsidRPr="00CD414A">
        <w:rPr>
          <w:sz w:val="20"/>
        </w:rPr>
        <w:t xml:space="preserve">, P., Nichol, A., </w:t>
      </w:r>
      <w:proofErr w:type="spellStart"/>
      <w:r w:rsidRPr="00CD414A">
        <w:rPr>
          <w:sz w:val="20"/>
        </w:rPr>
        <w:t>Maslove</w:t>
      </w:r>
      <w:proofErr w:type="spellEnd"/>
      <w:r w:rsidRPr="00CD414A">
        <w:rPr>
          <w:sz w:val="20"/>
        </w:rPr>
        <w:t xml:space="preserve">, D., Ling, L., McAuley, D., Montgomery, H., Walsh, T., Pereira, A., </w:t>
      </w:r>
      <w:proofErr w:type="spellStart"/>
      <w:r w:rsidRPr="00CD414A">
        <w:rPr>
          <w:sz w:val="20"/>
        </w:rPr>
        <w:t>Renieri</w:t>
      </w:r>
      <w:proofErr w:type="spellEnd"/>
      <w:r w:rsidRPr="00CD414A">
        <w:rPr>
          <w:sz w:val="20"/>
        </w:rPr>
        <w:t xml:space="preserve">, A., Shen, X., Ponting, C.P., Fawkes, A., </w:t>
      </w:r>
      <w:proofErr w:type="spellStart"/>
      <w:r w:rsidRPr="00CD414A">
        <w:rPr>
          <w:sz w:val="20"/>
        </w:rPr>
        <w:t>Tenesa</w:t>
      </w:r>
      <w:proofErr w:type="spellEnd"/>
      <w:r w:rsidRPr="00CD414A">
        <w:rPr>
          <w:sz w:val="20"/>
        </w:rPr>
        <w:t xml:space="preserve">, A., Caulfield, M., Scott, R., Rowan, K., Murphy, L., Openshaw, P.J.M., Malcolm G. Semple, Law, A., </w:t>
      </w:r>
      <w:proofErr w:type="spellStart"/>
      <w:r w:rsidRPr="00CD414A">
        <w:rPr>
          <w:sz w:val="20"/>
        </w:rPr>
        <w:t>Vitart</w:t>
      </w:r>
      <w:proofErr w:type="spellEnd"/>
      <w:r w:rsidRPr="00CD414A">
        <w:rPr>
          <w:sz w:val="20"/>
        </w:rPr>
        <w:t xml:space="preserve">, V., Wilson, J.F. &amp; Baillie, J.K. Genetic mechanisms of critical illness in Covid-19. Nature 1–1(2020). </w:t>
      </w:r>
      <w:hyperlink r:id="rId34" w:history="1">
        <w:r w:rsidRPr="00CD414A">
          <w:rPr>
            <w:rStyle w:val="Hyperlink"/>
            <w:sz w:val="20"/>
            <w:szCs w:val="20"/>
          </w:rPr>
          <w:t>https://doi.org/10.1038/s41586-020-03065-y</w:t>
        </w:r>
      </w:hyperlink>
      <w:r w:rsidRPr="00CD414A">
        <w:rPr>
          <w:sz w:val="20"/>
        </w:rPr>
        <w:t xml:space="preserve"> </w:t>
      </w:r>
    </w:p>
    <w:p w14:paraId="603BD82E" w14:textId="77777777" w:rsidR="00CD414A" w:rsidRPr="00CD414A" w:rsidRDefault="00CD414A" w:rsidP="00572A93">
      <w:pPr>
        <w:spacing w:before="0" w:after="0" w:line="240" w:lineRule="auto"/>
        <w:rPr>
          <w:sz w:val="20"/>
        </w:rPr>
      </w:pPr>
    </w:p>
    <w:p w14:paraId="21E1EF3E" w14:textId="6E7BA503" w:rsidR="00F158B8" w:rsidRPr="00CD414A" w:rsidRDefault="00F158B8" w:rsidP="00572A93">
      <w:pPr>
        <w:spacing w:before="0" w:after="0" w:line="240" w:lineRule="auto"/>
        <w:rPr>
          <w:sz w:val="20"/>
        </w:rPr>
      </w:pPr>
      <w:proofErr w:type="spellStart"/>
      <w:r w:rsidRPr="00CD414A">
        <w:rPr>
          <w:sz w:val="20"/>
        </w:rPr>
        <w:t>Pairo-Castineira</w:t>
      </w:r>
      <w:proofErr w:type="spellEnd"/>
      <w:r w:rsidRPr="00CD414A">
        <w:rPr>
          <w:sz w:val="20"/>
        </w:rPr>
        <w:t xml:space="preserve"> E, </w:t>
      </w:r>
      <w:proofErr w:type="spellStart"/>
      <w:r w:rsidRPr="00CD414A">
        <w:rPr>
          <w:sz w:val="20"/>
        </w:rPr>
        <w:t>Rawlik</w:t>
      </w:r>
      <w:proofErr w:type="spellEnd"/>
      <w:r w:rsidRPr="00CD414A">
        <w:rPr>
          <w:sz w:val="20"/>
        </w:rPr>
        <w:t xml:space="preserve"> K, </w:t>
      </w:r>
      <w:proofErr w:type="spellStart"/>
      <w:r w:rsidRPr="00CD414A">
        <w:rPr>
          <w:sz w:val="20"/>
        </w:rPr>
        <w:t>Bretherick</w:t>
      </w:r>
      <w:proofErr w:type="spellEnd"/>
      <w:r w:rsidRPr="00CD414A">
        <w:rPr>
          <w:sz w:val="20"/>
        </w:rPr>
        <w:t xml:space="preserve"> AD, Qi T, Wu Y, </w:t>
      </w:r>
      <w:proofErr w:type="spellStart"/>
      <w:r w:rsidRPr="00CD414A">
        <w:rPr>
          <w:sz w:val="20"/>
        </w:rPr>
        <w:t>Nassiri</w:t>
      </w:r>
      <w:proofErr w:type="spellEnd"/>
      <w:r w:rsidRPr="00CD414A">
        <w:rPr>
          <w:sz w:val="20"/>
        </w:rPr>
        <w:t xml:space="preserve"> I, </w:t>
      </w:r>
      <w:proofErr w:type="spellStart"/>
      <w:r w:rsidRPr="00CD414A">
        <w:rPr>
          <w:sz w:val="20"/>
        </w:rPr>
        <w:t>McConkey</w:t>
      </w:r>
      <w:proofErr w:type="spellEnd"/>
      <w:r w:rsidRPr="00CD414A">
        <w:rPr>
          <w:sz w:val="20"/>
        </w:rPr>
        <w:t xml:space="preserve"> GA, </w:t>
      </w:r>
      <w:proofErr w:type="spellStart"/>
      <w:r w:rsidRPr="00CD414A">
        <w:rPr>
          <w:sz w:val="20"/>
        </w:rPr>
        <w:t>Zechner</w:t>
      </w:r>
      <w:proofErr w:type="spellEnd"/>
      <w:r w:rsidRPr="00CD414A">
        <w:rPr>
          <w:sz w:val="20"/>
        </w:rPr>
        <w:t xml:space="preserve"> M, </w:t>
      </w:r>
      <w:proofErr w:type="spellStart"/>
      <w:r w:rsidRPr="00CD414A">
        <w:rPr>
          <w:sz w:val="20"/>
        </w:rPr>
        <w:t>Klaric</w:t>
      </w:r>
      <w:proofErr w:type="spellEnd"/>
      <w:r w:rsidRPr="00CD414A">
        <w:rPr>
          <w:sz w:val="20"/>
        </w:rPr>
        <w:t xml:space="preserve"> L, Griffiths F, </w:t>
      </w:r>
      <w:proofErr w:type="spellStart"/>
      <w:r w:rsidRPr="00CD414A">
        <w:rPr>
          <w:sz w:val="20"/>
        </w:rPr>
        <w:t>Oosthuyzen</w:t>
      </w:r>
      <w:proofErr w:type="spellEnd"/>
      <w:r w:rsidRPr="00CD414A">
        <w:rPr>
          <w:sz w:val="20"/>
        </w:rPr>
        <w:t xml:space="preserve"> W, </w:t>
      </w:r>
      <w:proofErr w:type="spellStart"/>
      <w:r w:rsidRPr="00CD414A">
        <w:rPr>
          <w:sz w:val="20"/>
        </w:rPr>
        <w:t>Kousathanas</w:t>
      </w:r>
      <w:proofErr w:type="spellEnd"/>
      <w:r w:rsidRPr="00CD414A">
        <w:rPr>
          <w:sz w:val="20"/>
        </w:rPr>
        <w:t xml:space="preserve"> A, Richmond A, Millar J, Russell CD, </w:t>
      </w:r>
      <w:proofErr w:type="spellStart"/>
      <w:r w:rsidRPr="00CD414A">
        <w:rPr>
          <w:sz w:val="20"/>
        </w:rPr>
        <w:t>Malinauskas</w:t>
      </w:r>
      <w:proofErr w:type="spellEnd"/>
      <w:r w:rsidRPr="00CD414A">
        <w:rPr>
          <w:sz w:val="20"/>
        </w:rPr>
        <w:t xml:space="preserve"> T, Thwaites R, Morrice K, Keating S, </w:t>
      </w:r>
      <w:proofErr w:type="spellStart"/>
      <w:r w:rsidRPr="00CD414A">
        <w:rPr>
          <w:sz w:val="20"/>
        </w:rPr>
        <w:t>Maslove</w:t>
      </w:r>
      <w:proofErr w:type="spellEnd"/>
      <w:r w:rsidRPr="00CD414A">
        <w:rPr>
          <w:sz w:val="20"/>
        </w:rPr>
        <w:t xml:space="preserve"> D, Nichol A, Semple MG, Knight J, Shankar-Hari M, Summers C, Hinds C, </w:t>
      </w:r>
      <w:proofErr w:type="spellStart"/>
      <w:r w:rsidRPr="00CD414A">
        <w:rPr>
          <w:sz w:val="20"/>
        </w:rPr>
        <w:t>Horby</w:t>
      </w:r>
      <w:proofErr w:type="spellEnd"/>
      <w:r w:rsidRPr="00CD414A">
        <w:rPr>
          <w:sz w:val="20"/>
        </w:rPr>
        <w:t xml:space="preserve"> P, Ling L, McAuley D, Montgomery H, Openshaw PJM, </w:t>
      </w:r>
      <w:proofErr w:type="spellStart"/>
      <w:r w:rsidRPr="00CD414A">
        <w:rPr>
          <w:sz w:val="20"/>
        </w:rPr>
        <w:t>Begg</w:t>
      </w:r>
      <w:proofErr w:type="spellEnd"/>
      <w:r w:rsidRPr="00CD414A">
        <w:rPr>
          <w:sz w:val="20"/>
        </w:rPr>
        <w:t xml:space="preserve"> C, Walsh T, </w:t>
      </w:r>
      <w:proofErr w:type="spellStart"/>
      <w:r w:rsidRPr="00CD414A">
        <w:rPr>
          <w:sz w:val="20"/>
        </w:rPr>
        <w:t>Tenesa</w:t>
      </w:r>
      <w:proofErr w:type="spellEnd"/>
      <w:r w:rsidRPr="00CD414A">
        <w:rPr>
          <w:sz w:val="20"/>
        </w:rPr>
        <w:t xml:space="preserve"> A, Flores C, </w:t>
      </w:r>
      <w:proofErr w:type="spellStart"/>
      <w:r w:rsidRPr="00CD414A">
        <w:rPr>
          <w:sz w:val="20"/>
        </w:rPr>
        <w:t>Riancho</w:t>
      </w:r>
      <w:proofErr w:type="spellEnd"/>
      <w:r w:rsidRPr="00CD414A">
        <w:rPr>
          <w:sz w:val="20"/>
        </w:rPr>
        <w:t xml:space="preserve"> JA, Rojas-Martinez A, </w:t>
      </w:r>
      <w:proofErr w:type="spellStart"/>
      <w:r w:rsidRPr="00CD414A">
        <w:rPr>
          <w:sz w:val="20"/>
        </w:rPr>
        <w:t>Lapunzina</w:t>
      </w:r>
      <w:proofErr w:type="spellEnd"/>
      <w:r w:rsidRPr="00CD414A">
        <w:rPr>
          <w:sz w:val="20"/>
        </w:rPr>
        <w:t xml:space="preserve"> P; GenOMICC Investigators; SCOURGE Consortium; ISARICC Investigators; 23andMe COVID-19 Team; Yang J, Ponting CP, Wilson JF, </w:t>
      </w:r>
      <w:proofErr w:type="spellStart"/>
      <w:r w:rsidRPr="00CD414A">
        <w:rPr>
          <w:sz w:val="20"/>
        </w:rPr>
        <w:t>Vitart</w:t>
      </w:r>
      <w:proofErr w:type="spellEnd"/>
      <w:r w:rsidRPr="00CD414A">
        <w:rPr>
          <w:sz w:val="20"/>
        </w:rPr>
        <w:t xml:space="preserve"> V, </w:t>
      </w:r>
      <w:proofErr w:type="spellStart"/>
      <w:r w:rsidRPr="00CD414A">
        <w:rPr>
          <w:sz w:val="20"/>
        </w:rPr>
        <w:t>Abedalthagafi</w:t>
      </w:r>
      <w:proofErr w:type="spellEnd"/>
      <w:r w:rsidRPr="00CD414A">
        <w:rPr>
          <w:sz w:val="20"/>
        </w:rPr>
        <w:t xml:space="preserve"> M, </w:t>
      </w:r>
      <w:proofErr w:type="spellStart"/>
      <w:r w:rsidRPr="00CD414A">
        <w:rPr>
          <w:sz w:val="20"/>
        </w:rPr>
        <w:t>Luchessi</w:t>
      </w:r>
      <w:proofErr w:type="spellEnd"/>
      <w:r w:rsidRPr="00CD414A">
        <w:rPr>
          <w:sz w:val="20"/>
        </w:rPr>
        <w:t xml:space="preserve"> AD, Parra EJ, Cruz R, </w:t>
      </w:r>
      <w:proofErr w:type="spellStart"/>
      <w:r w:rsidRPr="00CD414A">
        <w:rPr>
          <w:sz w:val="20"/>
        </w:rPr>
        <w:t>Carracedo</w:t>
      </w:r>
      <w:proofErr w:type="spellEnd"/>
      <w:r w:rsidRPr="00CD414A">
        <w:rPr>
          <w:sz w:val="20"/>
        </w:rPr>
        <w:t xml:space="preserve"> A, Fawkes A, Murphy L, Rowan K, Pereira AC, Law A, Fairfax B, Hendry SC, Baillie JK. GWAS and meta-analysis identifies 49 genetic variants underlying critical COVID-19. Nature. 2023 May;617(7962):764-768. </w:t>
      </w:r>
      <w:proofErr w:type="spellStart"/>
      <w:r w:rsidRPr="00CD414A">
        <w:rPr>
          <w:sz w:val="20"/>
        </w:rPr>
        <w:t>doi</w:t>
      </w:r>
      <w:proofErr w:type="spellEnd"/>
      <w:r w:rsidRPr="00CD414A">
        <w:rPr>
          <w:sz w:val="20"/>
        </w:rPr>
        <w:t>: 10.1038/s41586-023-06034-3</w:t>
      </w:r>
      <w:r w:rsidR="00BC7488" w:rsidRPr="00CD414A">
        <w:rPr>
          <w:sz w:val="20"/>
        </w:rPr>
        <w:t xml:space="preserve"> </w:t>
      </w:r>
      <w:hyperlink r:id="rId35" w:history="1">
        <w:r w:rsidR="00CD414A" w:rsidRPr="00CD414A">
          <w:rPr>
            <w:rStyle w:val="Hyperlink"/>
            <w:sz w:val="20"/>
            <w:szCs w:val="20"/>
          </w:rPr>
          <w:t>https://doi.org/10.1038/s41586-023-06383-z</w:t>
        </w:r>
      </w:hyperlink>
      <w:r w:rsidR="00CD414A" w:rsidRPr="00CD414A">
        <w:rPr>
          <w:b/>
          <w:bCs/>
          <w:sz w:val="20"/>
        </w:rPr>
        <w:t xml:space="preserve"> </w:t>
      </w:r>
    </w:p>
    <w:p w14:paraId="462938BB" w14:textId="20FD7355" w:rsidR="00FF2DC5" w:rsidRPr="00CD414A" w:rsidRDefault="00577725" w:rsidP="00EF5657">
      <w:pPr>
        <w:pStyle w:val="Bibliography"/>
        <w:rPr>
          <w:sz w:val="20"/>
        </w:rPr>
      </w:pPr>
      <w:bookmarkStart w:id="205" w:name="ref-Rautanen2015GenomeWide"/>
      <w:bookmarkEnd w:id="204"/>
      <w:proofErr w:type="spellStart"/>
      <w:r w:rsidRPr="00CD414A">
        <w:rPr>
          <w:sz w:val="20"/>
        </w:rPr>
        <w:t>Rautanen</w:t>
      </w:r>
      <w:proofErr w:type="spellEnd"/>
      <w:r w:rsidRPr="00CD414A">
        <w:rPr>
          <w:sz w:val="20"/>
        </w:rPr>
        <w:t xml:space="preserve">, Anna, Tara C Mills, Anthony C Gordon, Paula Hutton, Michael Steffens, Rosamond </w:t>
      </w:r>
      <w:proofErr w:type="spellStart"/>
      <w:r w:rsidRPr="00CD414A">
        <w:rPr>
          <w:sz w:val="20"/>
        </w:rPr>
        <w:t>Nuamah</w:t>
      </w:r>
      <w:proofErr w:type="spellEnd"/>
      <w:r w:rsidRPr="00CD414A">
        <w:rPr>
          <w:sz w:val="20"/>
        </w:rPr>
        <w:t xml:space="preserve">, Jean-Daniel </w:t>
      </w:r>
      <w:proofErr w:type="spellStart"/>
      <w:r w:rsidRPr="00CD414A">
        <w:rPr>
          <w:sz w:val="20"/>
        </w:rPr>
        <w:t>Chiche</w:t>
      </w:r>
      <w:proofErr w:type="spellEnd"/>
      <w:r w:rsidRPr="00CD414A">
        <w:rPr>
          <w:sz w:val="20"/>
        </w:rPr>
        <w:t xml:space="preserve">, et al. 2015. “Genome-Wide Association Study of Survival from Sepsis Due to Pneumonia: An Observational Cohort Study.” </w:t>
      </w:r>
      <w:r w:rsidRPr="00CD414A">
        <w:rPr>
          <w:i/>
          <w:sz w:val="20"/>
        </w:rPr>
        <w:t>The Lancet Respiratory Medicine</w:t>
      </w:r>
      <w:r w:rsidRPr="00CD414A">
        <w:rPr>
          <w:sz w:val="20"/>
        </w:rPr>
        <w:t xml:space="preserve"> 3 (1): 53–60. </w:t>
      </w:r>
      <w:hyperlink r:id="rId36" w:history="1">
        <w:r w:rsidR="00CD414A" w:rsidRPr="00C72B8A">
          <w:rPr>
            <w:rStyle w:val="Hyperlink"/>
            <w:sz w:val="20"/>
            <w:szCs w:val="20"/>
          </w:rPr>
          <w:t>https://doi.org/10.1016/S2213-2600(14)70290-5</w:t>
        </w:r>
      </w:hyperlink>
      <w:r w:rsidR="00CD414A">
        <w:rPr>
          <w:b/>
          <w:bCs/>
          <w:sz w:val="20"/>
        </w:rPr>
        <w:t xml:space="preserve"> </w:t>
      </w:r>
    </w:p>
    <w:p w14:paraId="367241BD" w14:textId="054D317B" w:rsidR="00FF2DC5" w:rsidRPr="00CD414A" w:rsidRDefault="00577725" w:rsidP="00EF5657">
      <w:pPr>
        <w:pStyle w:val="Bibliography"/>
        <w:rPr>
          <w:sz w:val="20"/>
        </w:rPr>
      </w:pPr>
      <w:bookmarkStart w:id="206" w:name="ref-Sorensen1988Genetic"/>
      <w:bookmarkEnd w:id="205"/>
      <w:r w:rsidRPr="00CD414A">
        <w:rPr>
          <w:sz w:val="20"/>
        </w:rPr>
        <w:t xml:space="preserve">Sorensen, TI, GG Nielsen, PK Andersen, and TW Teasdale. 1988. “Genetic and Environmental Influences on Premature Death in Adult Adoptees.” </w:t>
      </w:r>
      <w:r w:rsidRPr="00CD414A">
        <w:rPr>
          <w:i/>
          <w:sz w:val="20"/>
        </w:rPr>
        <w:t xml:space="preserve">N </w:t>
      </w:r>
      <w:proofErr w:type="spellStart"/>
      <w:r w:rsidRPr="00CD414A">
        <w:rPr>
          <w:i/>
          <w:sz w:val="20"/>
        </w:rPr>
        <w:t>Engl</w:t>
      </w:r>
      <w:proofErr w:type="spellEnd"/>
      <w:r w:rsidRPr="00CD414A">
        <w:rPr>
          <w:i/>
          <w:sz w:val="20"/>
        </w:rPr>
        <w:t xml:space="preserve"> J Med</w:t>
      </w:r>
      <w:r w:rsidRPr="00CD414A">
        <w:rPr>
          <w:sz w:val="20"/>
        </w:rPr>
        <w:t xml:space="preserve"> 318 (12): 727–32.</w:t>
      </w:r>
      <w:r w:rsidR="00CD414A">
        <w:rPr>
          <w:sz w:val="20"/>
        </w:rPr>
        <w:t xml:space="preserve"> </w:t>
      </w:r>
      <w:hyperlink r:id="rId37" w:history="1">
        <w:r w:rsidR="00CD414A" w:rsidRPr="00C72B8A">
          <w:rPr>
            <w:rStyle w:val="Hyperlink"/>
            <w:sz w:val="20"/>
            <w:szCs w:val="20"/>
          </w:rPr>
          <w:t>http://content.nejm.org/cgi/content/abstract/318/12/727</w:t>
        </w:r>
      </w:hyperlink>
      <w:bookmarkEnd w:id="193"/>
      <w:bookmarkEnd w:id="206"/>
      <w:r w:rsidR="00CD414A">
        <w:rPr>
          <w:sz w:val="20"/>
        </w:rPr>
        <w:t xml:space="preserve"> </w:t>
      </w:r>
    </w:p>
    <w:sectPr w:rsidR="00FF2DC5" w:rsidRPr="00CD414A" w:rsidSect="00B17380">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828B" w14:textId="77777777" w:rsidR="00471AE9" w:rsidRDefault="00471AE9">
      <w:pPr>
        <w:spacing w:after="0"/>
      </w:pPr>
      <w:r>
        <w:separator/>
      </w:r>
    </w:p>
  </w:endnote>
  <w:endnote w:type="continuationSeparator" w:id="0">
    <w:p w14:paraId="23639B7E" w14:textId="77777777" w:rsidR="00471AE9" w:rsidRDefault="00471AE9">
      <w:pPr>
        <w:spacing w:after="0"/>
      </w:pPr>
      <w:r>
        <w:continuationSeparator/>
      </w:r>
    </w:p>
  </w:endnote>
  <w:endnote w:type="continuationNotice" w:id="1">
    <w:p w14:paraId="21F46783" w14:textId="77777777" w:rsidR="00471AE9" w:rsidRDefault="00471A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Calibri"/>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526156"/>
      <w:docPartObj>
        <w:docPartGallery w:val="Page Numbers (Bottom of Page)"/>
        <w:docPartUnique/>
      </w:docPartObj>
    </w:sdtPr>
    <w:sdtEndPr>
      <w:rPr>
        <w:rStyle w:val="PageNumber"/>
      </w:rPr>
    </w:sdtEndPr>
    <w:sdtContent>
      <w:p w14:paraId="50CE625F" w14:textId="6A859CBD" w:rsidR="00E04AF7" w:rsidRDefault="00E04AF7" w:rsidP="00EF56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85D0C" w14:textId="77777777" w:rsidR="00E04AF7" w:rsidRDefault="00E04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228637"/>
      <w:docPartObj>
        <w:docPartGallery w:val="Page Numbers (Bottom of Page)"/>
        <w:docPartUnique/>
      </w:docPartObj>
    </w:sdtPr>
    <w:sdtEndPr>
      <w:rPr>
        <w:noProof/>
      </w:rPr>
    </w:sdtEndPr>
    <w:sdtContent>
      <w:p w14:paraId="2C13236C" w14:textId="1945F351" w:rsidR="0065588B" w:rsidRDefault="006558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EAC95" w14:textId="57FB5AC5" w:rsidR="00A8265B" w:rsidRPr="00E04AF7" w:rsidRDefault="0065588B" w:rsidP="00E04AF7">
    <w:pPr>
      <w:pStyle w:val="Footer"/>
    </w:pPr>
    <w:r>
      <w:t>GenOMICC study protocol v5</w:t>
    </w:r>
    <w:r w:rsidR="00DD062E">
      <w:t xml:space="preserve"> </w:t>
    </w:r>
    <w:r>
      <w:t xml:space="preserve">23 October 2024 </w:t>
    </w:r>
    <w:r>
      <w:rPr>
        <w:rStyle w:val="normaltextrun"/>
        <w:rFonts w:ascii="Calibri" w:hAnsi="Calibri" w:cs="Calibri"/>
        <w:color w:val="000000"/>
        <w:szCs w:val="22"/>
        <w:bdr w:val="none" w:sz="0" w:space="0" w:color="auto" w:frame="1"/>
      </w:rPr>
      <w:t>[IRAS: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52818"/>
      <w:docPartObj>
        <w:docPartGallery w:val="Page Numbers (Bottom of Page)"/>
        <w:docPartUnique/>
      </w:docPartObj>
    </w:sdtPr>
    <w:sdtEndPr>
      <w:rPr>
        <w:noProof/>
      </w:rPr>
    </w:sdtEndPr>
    <w:sdtContent>
      <w:p w14:paraId="74E40F8C" w14:textId="597B8598" w:rsidR="0065588B" w:rsidRDefault="006558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6438B" w14:textId="5868B1C4" w:rsidR="0065588B" w:rsidRDefault="0065588B" w:rsidP="0065588B">
    <w:pPr>
      <w:pStyle w:val="Footer"/>
    </w:pPr>
    <w:r>
      <w:t xml:space="preserve">GenOMICC study protocol v5 23 October 2024 </w:t>
    </w:r>
    <w:r>
      <w:rPr>
        <w:rStyle w:val="normaltextrun"/>
        <w:rFonts w:ascii="Calibri" w:hAnsi="Calibri" w:cs="Calibri"/>
        <w:color w:val="000000"/>
        <w:szCs w:val="22"/>
        <w:bdr w:val="none" w:sz="0" w:space="0" w:color="auto" w:frame="1"/>
      </w:rPr>
      <w:t>[IRAS: 189676/269326]</w:t>
    </w:r>
  </w:p>
  <w:p w14:paraId="48AEEFEA" w14:textId="3628EDF0" w:rsidR="7C422F4C" w:rsidRDefault="7C422F4C" w:rsidP="7C42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31A0" w14:textId="77777777" w:rsidR="00471AE9" w:rsidRDefault="00471AE9">
      <w:r>
        <w:separator/>
      </w:r>
    </w:p>
  </w:footnote>
  <w:footnote w:type="continuationSeparator" w:id="0">
    <w:p w14:paraId="7E2BE29C" w14:textId="77777777" w:rsidR="00471AE9" w:rsidRDefault="00471AE9">
      <w:r>
        <w:continuationSeparator/>
      </w:r>
    </w:p>
  </w:footnote>
  <w:footnote w:type="continuationNotice" w:id="1">
    <w:p w14:paraId="6E9C8B8E" w14:textId="77777777" w:rsidR="00471AE9" w:rsidRDefault="00471A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422F4C" w14:paraId="4B1673AB" w14:textId="77777777" w:rsidTr="7C422F4C">
      <w:trPr>
        <w:trHeight w:val="300"/>
      </w:trPr>
      <w:tc>
        <w:tcPr>
          <w:tcW w:w="3120" w:type="dxa"/>
        </w:tcPr>
        <w:p w14:paraId="5C5665FF" w14:textId="6232ACEB" w:rsidR="7C422F4C" w:rsidRDefault="7C422F4C" w:rsidP="7C422F4C">
          <w:pPr>
            <w:pStyle w:val="Header"/>
            <w:ind w:left="-115"/>
          </w:pPr>
        </w:p>
      </w:tc>
      <w:tc>
        <w:tcPr>
          <w:tcW w:w="3120" w:type="dxa"/>
        </w:tcPr>
        <w:p w14:paraId="36CB99B6" w14:textId="1B276D48" w:rsidR="7C422F4C" w:rsidRDefault="7C422F4C" w:rsidP="7C422F4C">
          <w:pPr>
            <w:pStyle w:val="Header"/>
            <w:jc w:val="center"/>
          </w:pPr>
        </w:p>
      </w:tc>
      <w:tc>
        <w:tcPr>
          <w:tcW w:w="3120" w:type="dxa"/>
        </w:tcPr>
        <w:p w14:paraId="3B65B3CA" w14:textId="17F58FD4" w:rsidR="7C422F4C" w:rsidRDefault="7C422F4C" w:rsidP="7C422F4C">
          <w:pPr>
            <w:pStyle w:val="Header"/>
            <w:ind w:right="-115"/>
            <w:jc w:val="right"/>
          </w:pPr>
        </w:p>
      </w:tc>
    </w:tr>
  </w:tbl>
  <w:p w14:paraId="21249923" w14:textId="41DF96F2" w:rsidR="7C422F4C" w:rsidRDefault="7C422F4C" w:rsidP="7C422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422F4C" w14:paraId="4B7D18C8" w14:textId="77777777" w:rsidTr="7C422F4C">
      <w:trPr>
        <w:trHeight w:val="300"/>
      </w:trPr>
      <w:tc>
        <w:tcPr>
          <w:tcW w:w="3120" w:type="dxa"/>
        </w:tcPr>
        <w:p w14:paraId="3569A421" w14:textId="4057BB7D" w:rsidR="7C422F4C" w:rsidRDefault="7C422F4C" w:rsidP="7C422F4C">
          <w:pPr>
            <w:pStyle w:val="Header"/>
            <w:ind w:left="-115"/>
          </w:pPr>
        </w:p>
      </w:tc>
      <w:tc>
        <w:tcPr>
          <w:tcW w:w="3120" w:type="dxa"/>
        </w:tcPr>
        <w:p w14:paraId="62FA28E3" w14:textId="7D862099" w:rsidR="7C422F4C" w:rsidRDefault="7C422F4C" w:rsidP="7C422F4C">
          <w:pPr>
            <w:pStyle w:val="Header"/>
            <w:jc w:val="center"/>
          </w:pPr>
        </w:p>
      </w:tc>
      <w:tc>
        <w:tcPr>
          <w:tcW w:w="3120" w:type="dxa"/>
        </w:tcPr>
        <w:p w14:paraId="08ED3713" w14:textId="10B58FC9" w:rsidR="7C422F4C" w:rsidRDefault="7C422F4C" w:rsidP="7C422F4C">
          <w:pPr>
            <w:pStyle w:val="Header"/>
            <w:ind w:right="-115"/>
            <w:jc w:val="right"/>
          </w:pPr>
        </w:p>
      </w:tc>
    </w:tr>
  </w:tbl>
  <w:p w14:paraId="16D04B4B" w14:textId="24A08722" w:rsidR="7C422F4C" w:rsidRDefault="7C422F4C" w:rsidP="7C42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1F9"/>
    <w:multiLevelType w:val="hybridMultilevel"/>
    <w:tmpl w:val="B4886782"/>
    <w:lvl w:ilvl="0" w:tplc="3E628444">
      <w:start w:val="1"/>
      <w:numFmt w:val="decimal"/>
      <w:pStyle w:val="Basic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56060"/>
    <w:multiLevelType w:val="hybridMultilevel"/>
    <w:tmpl w:val="E3C0FB80"/>
    <w:lvl w:ilvl="0" w:tplc="FFFFFFFF">
      <w:start w:val="1"/>
      <w:numFmt w:val="bullet"/>
      <w:pStyle w:val="Basic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D3D89"/>
    <w:multiLevelType w:val="hybridMultilevel"/>
    <w:tmpl w:val="F8824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840D4"/>
    <w:multiLevelType w:val="hybridMultilevel"/>
    <w:tmpl w:val="9996B2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F1C29DC"/>
    <w:multiLevelType w:val="hybridMultilevel"/>
    <w:tmpl w:val="7BD649D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203264"/>
    <w:multiLevelType w:val="hybridMultilevel"/>
    <w:tmpl w:val="B4A2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5"/>
  </w:num>
  <w:num w:numId="6">
    <w:abstractNumId w:val="3"/>
  </w:num>
  <w:num w:numId="7">
    <w:abstractNumId w:val="4"/>
  </w:num>
  <w:num w:numId="8">
    <w:abstractNumId w:val="2"/>
  </w:num>
  <w:num w:numId="9">
    <w:abstractNumId w:val="0"/>
  </w:num>
  <w:num w:numId="10">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33E"/>
    <w:rsid w:val="00011C8B"/>
    <w:rsid w:val="000124CE"/>
    <w:rsid w:val="00012B79"/>
    <w:rsid w:val="00014339"/>
    <w:rsid w:val="00015AA5"/>
    <w:rsid w:val="0001780C"/>
    <w:rsid w:val="00023D3F"/>
    <w:rsid w:val="00025A07"/>
    <w:rsid w:val="000268C3"/>
    <w:rsid w:val="00027306"/>
    <w:rsid w:val="00027D8D"/>
    <w:rsid w:val="000332A3"/>
    <w:rsid w:val="00034570"/>
    <w:rsid w:val="0003526D"/>
    <w:rsid w:val="0003579A"/>
    <w:rsid w:val="000362D1"/>
    <w:rsid w:val="00041491"/>
    <w:rsid w:val="000428EF"/>
    <w:rsid w:val="000437E3"/>
    <w:rsid w:val="000439AE"/>
    <w:rsid w:val="000440DD"/>
    <w:rsid w:val="00044891"/>
    <w:rsid w:val="00045EA3"/>
    <w:rsid w:val="00046B6F"/>
    <w:rsid w:val="0004768B"/>
    <w:rsid w:val="00047D5C"/>
    <w:rsid w:val="00050B05"/>
    <w:rsid w:val="00053FC6"/>
    <w:rsid w:val="000540C0"/>
    <w:rsid w:val="000616CE"/>
    <w:rsid w:val="0006194D"/>
    <w:rsid w:val="000622D4"/>
    <w:rsid w:val="0006459B"/>
    <w:rsid w:val="00065518"/>
    <w:rsid w:val="00066699"/>
    <w:rsid w:val="00067E42"/>
    <w:rsid w:val="00070ADA"/>
    <w:rsid w:val="00070D5E"/>
    <w:rsid w:val="00071100"/>
    <w:rsid w:val="000734D6"/>
    <w:rsid w:val="0007364F"/>
    <w:rsid w:val="000765A0"/>
    <w:rsid w:val="00076F49"/>
    <w:rsid w:val="0007713B"/>
    <w:rsid w:val="00080173"/>
    <w:rsid w:val="00080669"/>
    <w:rsid w:val="00082E38"/>
    <w:rsid w:val="00083218"/>
    <w:rsid w:val="00083586"/>
    <w:rsid w:val="00083C2E"/>
    <w:rsid w:val="00083E08"/>
    <w:rsid w:val="000844D1"/>
    <w:rsid w:val="00085026"/>
    <w:rsid w:val="00085E2E"/>
    <w:rsid w:val="000874F7"/>
    <w:rsid w:val="00087ADB"/>
    <w:rsid w:val="000A3BF3"/>
    <w:rsid w:val="000A4E27"/>
    <w:rsid w:val="000A670A"/>
    <w:rsid w:val="000A697C"/>
    <w:rsid w:val="000A71F9"/>
    <w:rsid w:val="000B6F4C"/>
    <w:rsid w:val="000B7917"/>
    <w:rsid w:val="000C12B2"/>
    <w:rsid w:val="000C1B8B"/>
    <w:rsid w:val="000C20E2"/>
    <w:rsid w:val="000C241F"/>
    <w:rsid w:val="000C3C5B"/>
    <w:rsid w:val="000D145F"/>
    <w:rsid w:val="000D210C"/>
    <w:rsid w:val="000D4F48"/>
    <w:rsid w:val="000E1AD1"/>
    <w:rsid w:val="000E32B8"/>
    <w:rsid w:val="000E46AF"/>
    <w:rsid w:val="000E5F60"/>
    <w:rsid w:val="000E651E"/>
    <w:rsid w:val="000F008C"/>
    <w:rsid w:val="000F2208"/>
    <w:rsid w:val="000F29A5"/>
    <w:rsid w:val="000F3F14"/>
    <w:rsid w:val="0010011D"/>
    <w:rsid w:val="001002E9"/>
    <w:rsid w:val="00101D94"/>
    <w:rsid w:val="00103AE3"/>
    <w:rsid w:val="00104158"/>
    <w:rsid w:val="0010548F"/>
    <w:rsid w:val="00105D2F"/>
    <w:rsid w:val="001068D9"/>
    <w:rsid w:val="0010704C"/>
    <w:rsid w:val="001140C6"/>
    <w:rsid w:val="001146FB"/>
    <w:rsid w:val="0012486D"/>
    <w:rsid w:val="00127257"/>
    <w:rsid w:val="00127806"/>
    <w:rsid w:val="00130A49"/>
    <w:rsid w:val="00130DF3"/>
    <w:rsid w:val="00130FA5"/>
    <w:rsid w:val="00131427"/>
    <w:rsid w:val="001353FA"/>
    <w:rsid w:val="00143C73"/>
    <w:rsid w:val="00146450"/>
    <w:rsid w:val="00146788"/>
    <w:rsid w:val="0015057B"/>
    <w:rsid w:val="00151372"/>
    <w:rsid w:val="00152CFD"/>
    <w:rsid w:val="0015392A"/>
    <w:rsid w:val="001560F8"/>
    <w:rsid w:val="0015714B"/>
    <w:rsid w:val="00163309"/>
    <w:rsid w:val="001635C2"/>
    <w:rsid w:val="00164C78"/>
    <w:rsid w:val="00166C44"/>
    <w:rsid w:val="00170639"/>
    <w:rsid w:val="00170DAE"/>
    <w:rsid w:val="00174985"/>
    <w:rsid w:val="00174CA9"/>
    <w:rsid w:val="00174D44"/>
    <w:rsid w:val="00176B4D"/>
    <w:rsid w:val="0018046A"/>
    <w:rsid w:val="001812BD"/>
    <w:rsid w:val="00182877"/>
    <w:rsid w:val="0018299A"/>
    <w:rsid w:val="001858DD"/>
    <w:rsid w:val="00186E98"/>
    <w:rsid w:val="001930E8"/>
    <w:rsid w:val="00193718"/>
    <w:rsid w:val="00194F1C"/>
    <w:rsid w:val="001A0473"/>
    <w:rsid w:val="001A1FFA"/>
    <w:rsid w:val="001A2EF5"/>
    <w:rsid w:val="001A52FA"/>
    <w:rsid w:val="001A5E9A"/>
    <w:rsid w:val="001A796F"/>
    <w:rsid w:val="001B0BDF"/>
    <w:rsid w:val="001B0CDB"/>
    <w:rsid w:val="001B17AB"/>
    <w:rsid w:val="001B27A9"/>
    <w:rsid w:val="001B4858"/>
    <w:rsid w:val="001B6420"/>
    <w:rsid w:val="001B6F42"/>
    <w:rsid w:val="001B71D9"/>
    <w:rsid w:val="001C0178"/>
    <w:rsid w:val="001C0867"/>
    <w:rsid w:val="001C17FC"/>
    <w:rsid w:val="001C6DED"/>
    <w:rsid w:val="001C720E"/>
    <w:rsid w:val="001C7853"/>
    <w:rsid w:val="001D2A05"/>
    <w:rsid w:val="001D2E94"/>
    <w:rsid w:val="001D3BA9"/>
    <w:rsid w:val="001D56D8"/>
    <w:rsid w:val="001D5B93"/>
    <w:rsid w:val="001D654A"/>
    <w:rsid w:val="001D6610"/>
    <w:rsid w:val="001D72A2"/>
    <w:rsid w:val="001D7664"/>
    <w:rsid w:val="001E02AC"/>
    <w:rsid w:val="001E0658"/>
    <w:rsid w:val="001E220A"/>
    <w:rsid w:val="001E4F3B"/>
    <w:rsid w:val="001E5179"/>
    <w:rsid w:val="001E6A18"/>
    <w:rsid w:val="001E7E8A"/>
    <w:rsid w:val="001F11FB"/>
    <w:rsid w:val="001F5C66"/>
    <w:rsid w:val="001F733B"/>
    <w:rsid w:val="001F767E"/>
    <w:rsid w:val="001F7957"/>
    <w:rsid w:val="001F7A1F"/>
    <w:rsid w:val="00201C02"/>
    <w:rsid w:val="00202563"/>
    <w:rsid w:val="0020379C"/>
    <w:rsid w:val="0020553F"/>
    <w:rsid w:val="00205DF0"/>
    <w:rsid w:val="002120C3"/>
    <w:rsid w:val="00214286"/>
    <w:rsid w:val="00214DC8"/>
    <w:rsid w:val="002230CE"/>
    <w:rsid w:val="00224332"/>
    <w:rsid w:val="00224B8C"/>
    <w:rsid w:val="00227E01"/>
    <w:rsid w:val="00230F6E"/>
    <w:rsid w:val="00231E0E"/>
    <w:rsid w:val="0023294A"/>
    <w:rsid w:val="0023596D"/>
    <w:rsid w:val="00235F5A"/>
    <w:rsid w:val="00236FDD"/>
    <w:rsid w:val="002411E5"/>
    <w:rsid w:val="002421BC"/>
    <w:rsid w:val="00242775"/>
    <w:rsid w:val="002429D9"/>
    <w:rsid w:val="00243563"/>
    <w:rsid w:val="00245956"/>
    <w:rsid w:val="00245982"/>
    <w:rsid w:val="00245F3B"/>
    <w:rsid w:val="0024770F"/>
    <w:rsid w:val="00255722"/>
    <w:rsid w:val="00255EFF"/>
    <w:rsid w:val="00261640"/>
    <w:rsid w:val="00262A5C"/>
    <w:rsid w:val="0026660C"/>
    <w:rsid w:val="0027397D"/>
    <w:rsid w:val="00275686"/>
    <w:rsid w:val="00275A79"/>
    <w:rsid w:val="00275F46"/>
    <w:rsid w:val="00276C94"/>
    <w:rsid w:val="002770A8"/>
    <w:rsid w:val="002777F9"/>
    <w:rsid w:val="00277D38"/>
    <w:rsid w:val="00283B70"/>
    <w:rsid w:val="0028469A"/>
    <w:rsid w:val="00286C88"/>
    <w:rsid w:val="0028795B"/>
    <w:rsid w:val="002908AC"/>
    <w:rsid w:val="00292A74"/>
    <w:rsid w:val="002934DB"/>
    <w:rsid w:val="00293E5E"/>
    <w:rsid w:val="00297F74"/>
    <w:rsid w:val="002A0455"/>
    <w:rsid w:val="002A17AA"/>
    <w:rsid w:val="002A2DF1"/>
    <w:rsid w:val="002A38E1"/>
    <w:rsid w:val="002A4690"/>
    <w:rsid w:val="002A4F40"/>
    <w:rsid w:val="002A5DE7"/>
    <w:rsid w:val="002A76A9"/>
    <w:rsid w:val="002A76CF"/>
    <w:rsid w:val="002A7DD8"/>
    <w:rsid w:val="002B032F"/>
    <w:rsid w:val="002B2759"/>
    <w:rsid w:val="002B2F01"/>
    <w:rsid w:val="002B3C10"/>
    <w:rsid w:val="002B70ED"/>
    <w:rsid w:val="002B7D55"/>
    <w:rsid w:val="002C1A32"/>
    <w:rsid w:val="002C6436"/>
    <w:rsid w:val="002D03F0"/>
    <w:rsid w:val="002D15D7"/>
    <w:rsid w:val="002D1B22"/>
    <w:rsid w:val="002D2DEB"/>
    <w:rsid w:val="002D5D22"/>
    <w:rsid w:val="002D6669"/>
    <w:rsid w:val="002D7675"/>
    <w:rsid w:val="002D7B24"/>
    <w:rsid w:val="002E3CE1"/>
    <w:rsid w:val="002E4E81"/>
    <w:rsid w:val="002E6351"/>
    <w:rsid w:val="002E7042"/>
    <w:rsid w:val="002F0314"/>
    <w:rsid w:val="002F17B1"/>
    <w:rsid w:val="002F1C94"/>
    <w:rsid w:val="002F1E88"/>
    <w:rsid w:val="002F409D"/>
    <w:rsid w:val="002F45BE"/>
    <w:rsid w:val="002F49BE"/>
    <w:rsid w:val="002F5CD2"/>
    <w:rsid w:val="00301108"/>
    <w:rsid w:val="0030193D"/>
    <w:rsid w:val="00303143"/>
    <w:rsid w:val="0030331B"/>
    <w:rsid w:val="00303B81"/>
    <w:rsid w:val="00305ECC"/>
    <w:rsid w:val="00306100"/>
    <w:rsid w:val="003069BC"/>
    <w:rsid w:val="00312722"/>
    <w:rsid w:val="003130FB"/>
    <w:rsid w:val="003141D6"/>
    <w:rsid w:val="00314442"/>
    <w:rsid w:val="003149A6"/>
    <w:rsid w:val="003200EC"/>
    <w:rsid w:val="003207FC"/>
    <w:rsid w:val="0032221F"/>
    <w:rsid w:val="00324462"/>
    <w:rsid w:val="00324987"/>
    <w:rsid w:val="00325E02"/>
    <w:rsid w:val="00326527"/>
    <w:rsid w:val="00326C7D"/>
    <w:rsid w:val="003279FA"/>
    <w:rsid w:val="00334D42"/>
    <w:rsid w:val="00337BFF"/>
    <w:rsid w:val="00344E5D"/>
    <w:rsid w:val="00346E71"/>
    <w:rsid w:val="00352EC8"/>
    <w:rsid w:val="00353159"/>
    <w:rsid w:val="00353EC5"/>
    <w:rsid w:val="0035442F"/>
    <w:rsid w:val="003552A5"/>
    <w:rsid w:val="003565C6"/>
    <w:rsid w:val="003566FB"/>
    <w:rsid w:val="00356F9D"/>
    <w:rsid w:val="003570BC"/>
    <w:rsid w:val="00357505"/>
    <w:rsid w:val="003577DE"/>
    <w:rsid w:val="00361A5B"/>
    <w:rsid w:val="00361B77"/>
    <w:rsid w:val="00362608"/>
    <w:rsid w:val="00363582"/>
    <w:rsid w:val="0036384C"/>
    <w:rsid w:val="00363CEE"/>
    <w:rsid w:val="00365BD2"/>
    <w:rsid w:val="003714AB"/>
    <w:rsid w:val="00372C68"/>
    <w:rsid w:val="003732DC"/>
    <w:rsid w:val="00374C2C"/>
    <w:rsid w:val="00375B24"/>
    <w:rsid w:val="00375D42"/>
    <w:rsid w:val="0037615F"/>
    <w:rsid w:val="0037643F"/>
    <w:rsid w:val="00381370"/>
    <w:rsid w:val="003814D1"/>
    <w:rsid w:val="003835CE"/>
    <w:rsid w:val="003838E6"/>
    <w:rsid w:val="003864D3"/>
    <w:rsid w:val="00387F34"/>
    <w:rsid w:val="00390DF5"/>
    <w:rsid w:val="00391AF3"/>
    <w:rsid w:val="00392A2C"/>
    <w:rsid w:val="00392A82"/>
    <w:rsid w:val="0039672A"/>
    <w:rsid w:val="00397989"/>
    <w:rsid w:val="00397F7B"/>
    <w:rsid w:val="003A0962"/>
    <w:rsid w:val="003A1120"/>
    <w:rsid w:val="003A2092"/>
    <w:rsid w:val="003A2937"/>
    <w:rsid w:val="003A7A7F"/>
    <w:rsid w:val="003A7E64"/>
    <w:rsid w:val="003B0BDD"/>
    <w:rsid w:val="003B1845"/>
    <w:rsid w:val="003B2F77"/>
    <w:rsid w:val="003B4B71"/>
    <w:rsid w:val="003B59DF"/>
    <w:rsid w:val="003B5F71"/>
    <w:rsid w:val="003B6E9D"/>
    <w:rsid w:val="003B7D72"/>
    <w:rsid w:val="003B7F85"/>
    <w:rsid w:val="003C0047"/>
    <w:rsid w:val="003C02D1"/>
    <w:rsid w:val="003C03D3"/>
    <w:rsid w:val="003C11BA"/>
    <w:rsid w:val="003C1689"/>
    <w:rsid w:val="003C1CE7"/>
    <w:rsid w:val="003C31B3"/>
    <w:rsid w:val="003D01BD"/>
    <w:rsid w:val="003D1DC3"/>
    <w:rsid w:val="003D2F02"/>
    <w:rsid w:val="003D3CBA"/>
    <w:rsid w:val="003D49F7"/>
    <w:rsid w:val="003D643E"/>
    <w:rsid w:val="003E1A34"/>
    <w:rsid w:val="003E279D"/>
    <w:rsid w:val="003E7CC7"/>
    <w:rsid w:val="003F2487"/>
    <w:rsid w:val="003F30F7"/>
    <w:rsid w:val="003F4E72"/>
    <w:rsid w:val="003F74E6"/>
    <w:rsid w:val="003F7EC4"/>
    <w:rsid w:val="00400F4E"/>
    <w:rsid w:val="00401A23"/>
    <w:rsid w:val="00403398"/>
    <w:rsid w:val="00403ACE"/>
    <w:rsid w:val="004043EC"/>
    <w:rsid w:val="00407985"/>
    <w:rsid w:val="004103E1"/>
    <w:rsid w:val="00411E50"/>
    <w:rsid w:val="00412005"/>
    <w:rsid w:val="00414CDA"/>
    <w:rsid w:val="00415A06"/>
    <w:rsid w:val="0041675E"/>
    <w:rsid w:val="0041707F"/>
    <w:rsid w:val="00417FCE"/>
    <w:rsid w:val="00421FC6"/>
    <w:rsid w:val="004238A7"/>
    <w:rsid w:val="004266EF"/>
    <w:rsid w:val="00427897"/>
    <w:rsid w:val="00430664"/>
    <w:rsid w:val="00440A3F"/>
    <w:rsid w:val="00440A78"/>
    <w:rsid w:val="00442801"/>
    <w:rsid w:val="00445702"/>
    <w:rsid w:val="004543C0"/>
    <w:rsid w:val="00454BE7"/>
    <w:rsid w:val="00454E80"/>
    <w:rsid w:val="00457C3E"/>
    <w:rsid w:val="0046154E"/>
    <w:rsid w:val="00461756"/>
    <w:rsid w:val="004628AB"/>
    <w:rsid w:val="00462B03"/>
    <w:rsid w:val="00462C9D"/>
    <w:rsid w:val="00462CDE"/>
    <w:rsid w:val="00463DC9"/>
    <w:rsid w:val="00464520"/>
    <w:rsid w:val="00466B34"/>
    <w:rsid w:val="004713DE"/>
    <w:rsid w:val="00471AE9"/>
    <w:rsid w:val="00472A82"/>
    <w:rsid w:val="004743A2"/>
    <w:rsid w:val="00475956"/>
    <w:rsid w:val="0047663D"/>
    <w:rsid w:val="004770B2"/>
    <w:rsid w:val="00481D0C"/>
    <w:rsid w:val="0048256D"/>
    <w:rsid w:val="0048297B"/>
    <w:rsid w:val="00482D22"/>
    <w:rsid w:val="00484C4C"/>
    <w:rsid w:val="0048640D"/>
    <w:rsid w:val="00487C6C"/>
    <w:rsid w:val="004905BD"/>
    <w:rsid w:val="00492BC8"/>
    <w:rsid w:val="00492F3A"/>
    <w:rsid w:val="00493526"/>
    <w:rsid w:val="00493576"/>
    <w:rsid w:val="0049591E"/>
    <w:rsid w:val="0049619D"/>
    <w:rsid w:val="0049796D"/>
    <w:rsid w:val="00497D70"/>
    <w:rsid w:val="004A05A7"/>
    <w:rsid w:val="004A51D3"/>
    <w:rsid w:val="004A51DD"/>
    <w:rsid w:val="004A6798"/>
    <w:rsid w:val="004A76E5"/>
    <w:rsid w:val="004B05E4"/>
    <w:rsid w:val="004B0E2D"/>
    <w:rsid w:val="004B1447"/>
    <w:rsid w:val="004B163A"/>
    <w:rsid w:val="004B21C7"/>
    <w:rsid w:val="004B3156"/>
    <w:rsid w:val="004B4694"/>
    <w:rsid w:val="004B7A27"/>
    <w:rsid w:val="004B7CE5"/>
    <w:rsid w:val="004B7F20"/>
    <w:rsid w:val="004C1FE3"/>
    <w:rsid w:val="004C2BFD"/>
    <w:rsid w:val="004C4FA5"/>
    <w:rsid w:val="004C7B87"/>
    <w:rsid w:val="004D07F6"/>
    <w:rsid w:val="004D097C"/>
    <w:rsid w:val="004D56E3"/>
    <w:rsid w:val="004D684B"/>
    <w:rsid w:val="004D69A9"/>
    <w:rsid w:val="004D7AAA"/>
    <w:rsid w:val="004E1117"/>
    <w:rsid w:val="004E29B3"/>
    <w:rsid w:val="004E2FD9"/>
    <w:rsid w:val="004E547F"/>
    <w:rsid w:val="004E54DA"/>
    <w:rsid w:val="004E5ACB"/>
    <w:rsid w:val="004E62BD"/>
    <w:rsid w:val="004E69C3"/>
    <w:rsid w:val="004E7023"/>
    <w:rsid w:val="004F1C97"/>
    <w:rsid w:val="004F1E0D"/>
    <w:rsid w:val="004F4C47"/>
    <w:rsid w:val="004F5A4F"/>
    <w:rsid w:val="004F6B5E"/>
    <w:rsid w:val="0050011B"/>
    <w:rsid w:val="00500EA7"/>
    <w:rsid w:val="0050315C"/>
    <w:rsid w:val="00503A0A"/>
    <w:rsid w:val="00504BD2"/>
    <w:rsid w:val="00505CEA"/>
    <w:rsid w:val="00505E62"/>
    <w:rsid w:val="00510971"/>
    <w:rsid w:val="0051162B"/>
    <w:rsid w:val="00513CA6"/>
    <w:rsid w:val="00514EF6"/>
    <w:rsid w:val="00516535"/>
    <w:rsid w:val="00522298"/>
    <w:rsid w:val="00522A1A"/>
    <w:rsid w:val="00525C6D"/>
    <w:rsid w:val="0053008F"/>
    <w:rsid w:val="00531349"/>
    <w:rsid w:val="00535EA8"/>
    <w:rsid w:val="00536E50"/>
    <w:rsid w:val="00537535"/>
    <w:rsid w:val="00540846"/>
    <w:rsid w:val="0054094D"/>
    <w:rsid w:val="00540DAD"/>
    <w:rsid w:val="00545F5E"/>
    <w:rsid w:val="00546DD9"/>
    <w:rsid w:val="0054715E"/>
    <w:rsid w:val="00547239"/>
    <w:rsid w:val="00550C51"/>
    <w:rsid w:val="00551C94"/>
    <w:rsid w:val="0055213F"/>
    <w:rsid w:val="0055355C"/>
    <w:rsid w:val="00554C02"/>
    <w:rsid w:val="00556643"/>
    <w:rsid w:val="00556993"/>
    <w:rsid w:val="005611A6"/>
    <w:rsid w:val="00564DD1"/>
    <w:rsid w:val="0057027E"/>
    <w:rsid w:val="00571051"/>
    <w:rsid w:val="005717E5"/>
    <w:rsid w:val="00571EE6"/>
    <w:rsid w:val="00572A2D"/>
    <w:rsid w:val="00572A93"/>
    <w:rsid w:val="0057341F"/>
    <w:rsid w:val="00573AE3"/>
    <w:rsid w:val="00575A55"/>
    <w:rsid w:val="005764CF"/>
    <w:rsid w:val="00577725"/>
    <w:rsid w:val="005800C9"/>
    <w:rsid w:val="00580D0D"/>
    <w:rsid w:val="00580DA5"/>
    <w:rsid w:val="005820DA"/>
    <w:rsid w:val="0058423D"/>
    <w:rsid w:val="00584C60"/>
    <w:rsid w:val="00584DA4"/>
    <w:rsid w:val="005854BB"/>
    <w:rsid w:val="00585A06"/>
    <w:rsid w:val="00590444"/>
    <w:rsid w:val="005908A0"/>
    <w:rsid w:val="00590D07"/>
    <w:rsid w:val="0059139C"/>
    <w:rsid w:val="0059185D"/>
    <w:rsid w:val="005A253A"/>
    <w:rsid w:val="005A32DD"/>
    <w:rsid w:val="005A3A5D"/>
    <w:rsid w:val="005A4D94"/>
    <w:rsid w:val="005A57BE"/>
    <w:rsid w:val="005B1260"/>
    <w:rsid w:val="005B29F4"/>
    <w:rsid w:val="005B2D76"/>
    <w:rsid w:val="005B5AE2"/>
    <w:rsid w:val="005B7A03"/>
    <w:rsid w:val="005C335C"/>
    <w:rsid w:val="005C55EA"/>
    <w:rsid w:val="005C676C"/>
    <w:rsid w:val="005C724D"/>
    <w:rsid w:val="005C76FD"/>
    <w:rsid w:val="005D0CDC"/>
    <w:rsid w:val="005D3888"/>
    <w:rsid w:val="005D4B85"/>
    <w:rsid w:val="005D6670"/>
    <w:rsid w:val="005D7E29"/>
    <w:rsid w:val="005E0E1B"/>
    <w:rsid w:val="005E2136"/>
    <w:rsid w:val="005E360B"/>
    <w:rsid w:val="005E410F"/>
    <w:rsid w:val="005E4E01"/>
    <w:rsid w:val="005E6CCB"/>
    <w:rsid w:val="005E74D7"/>
    <w:rsid w:val="005F24E0"/>
    <w:rsid w:val="005F30AB"/>
    <w:rsid w:val="005F3496"/>
    <w:rsid w:val="005F4D66"/>
    <w:rsid w:val="005F4E3F"/>
    <w:rsid w:val="006010B5"/>
    <w:rsid w:val="00602153"/>
    <w:rsid w:val="00604177"/>
    <w:rsid w:val="00604635"/>
    <w:rsid w:val="006064C9"/>
    <w:rsid w:val="00606638"/>
    <w:rsid w:val="00607D3C"/>
    <w:rsid w:val="00607E41"/>
    <w:rsid w:val="00610D6A"/>
    <w:rsid w:val="006111A7"/>
    <w:rsid w:val="00611F1A"/>
    <w:rsid w:val="0061435C"/>
    <w:rsid w:val="006146B5"/>
    <w:rsid w:val="00615992"/>
    <w:rsid w:val="006167AE"/>
    <w:rsid w:val="00616F93"/>
    <w:rsid w:val="00617B79"/>
    <w:rsid w:val="00621F7C"/>
    <w:rsid w:val="00622149"/>
    <w:rsid w:val="006225F4"/>
    <w:rsid w:val="006257A4"/>
    <w:rsid w:val="006265B0"/>
    <w:rsid w:val="00626F12"/>
    <w:rsid w:val="00630108"/>
    <w:rsid w:val="0063041A"/>
    <w:rsid w:val="00630E26"/>
    <w:rsid w:val="00631944"/>
    <w:rsid w:val="006319AF"/>
    <w:rsid w:val="00634B5D"/>
    <w:rsid w:val="00635F89"/>
    <w:rsid w:val="0063618D"/>
    <w:rsid w:val="00636313"/>
    <w:rsid w:val="00637780"/>
    <w:rsid w:val="006378B7"/>
    <w:rsid w:val="006378E9"/>
    <w:rsid w:val="00643221"/>
    <w:rsid w:val="0064414E"/>
    <w:rsid w:val="0064555B"/>
    <w:rsid w:val="00646F9F"/>
    <w:rsid w:val="00650545"/>
    <w:rsid w:val="00651226"/>
    <w:rsid w:val="006512D6"/>
    <w:rsid w:val="0065150E"/>
    <w:rsid w:val="00652777"/>
    <w:rsid w:val="0065527A"/>
    <w:rsid w:val="0065588B"/>
    <w:rsid w:val="006567C2"/>
    <w:rsid w:val="00657180"/>
    <w:rsid w:val="00660D91"/>
    <w:rsid w:val="006621A6"/>
    <w:rsid w:val="00664985"/>
    <w:rsid w:val="00665960"/>
    <w:rsid w:val="00665AB8"/>
    <w:rsid w:val="006663DD"/>
    <w:rsid w:val="00666725"/>
    <w:rsid w:val="006703A4"/>
    <w:rsid w:val="00670FA6"/>
    <w:rsid w:val="006717D7"/>
    <w:rsid w:val="00672F1D"/>
    <w:rsid w:val="00673237"/>
    <w:rsid w:val="00674551"/>
    <w:rsid w:val="0067562A"/>
    <w:rsid w:val="0067690B"/>
    <w:rsid w:val="00677A4D"/>
    <w:rsid w:val="00680326"/>
    <w:rsid w:val="00681322"/>
    <w:rsid w:val="006821D4"/>
    <w:rsid w:val="00682264"/>
    <w:rsid w:val="00682DB0"/>
    <w:rsid w:val="00684300"/>
    <w:rsid w:val="00684457"/>
    <w:rsid w:val="00686F7C"/>
    <w:rsid w:val="00690305"/>
    <w:rsid w:val="00692F13"/>
    <w:rsid w:val="00692F2D"/>
    <w:rsid w:val="00693C51"/>
    <w:rsid w:val="00694631"/>
    <w:rsid w:val="0069487E"/>
    <w:rsid w:val="00697BF7"/>
    <w:rsid w:val="00697D4F"/>
    <w:rsid w:val="006A6266"/>
    <w:rsid w:val="006A6D4E"/>
    <w:rsid w:val="006A7ED6"/>
    <w:rsid w:val="006B1AC3"/>
    <w:rsid w:val="006B35E1"/>
    <w:rsid w:val="006B473F"/>
    <w:rsid w:val="006B5CA4"/>
    <w:rsid w:val="006B7AA6"/>
    <w:rsid w:val="006C0C20"/>
    <w:rsid w:val="006C149D"/>
    <w:rsid w:val="006C2717"/>
    <w:rsid w:val="006C44BC"/>
    <w:rsid w:val="006C55C2"/>
    <w:rsid w:val="006C57A0"/>
    <w:rsid w:val="006C5AFB"/>
    <w:rsid w:val="006C73BC"/>
    <w:rsid w:val="006D1352"/>
    <w:rsid w:val="006D3E11"/>
    <w:rsid w:val="006D3F14"/>
    <w:rsid w:val="006D3F32"/>
    <w:rsid w:val="006E228B"/>
    <w:rsid w:val="006E262F"/>
    <w:rsid w:val="006F178E"/>
    <w:rsid w:val="006F2583"/>
    <w:rsid w:val="006F5D2E"/>
    <w:rsid w:val="006F727F"/>
    <w:rsid w:val="007016EE"/>
    <w:rsid w:val="00705C4F"/>
    <w:rsid w:val="007069D3"/>
    <w:rsid w:val="00710B11"/>
    <w:rsid w:val="00710DAE"/>
    <w:rsid w:val="0071177F"/>
    <w:rsid w:val="0071278E"/>
    <w:rsid w:val="0071489A"/>
    <w:rsid w:val="007173D4"/>
    <w:rsid w:val="00722849"/>
    <w:rsid w:val="00723960"/>
    <w:rsid w:val="00724652"/>
    <w:rsid w:val="00725FD1"/>
    <w:rsid w:val="007273A1"/>
    <w:rsid w:val="007275BA"/>
    <w:rsid w:val="00730B7C"/>
    <w:rsid w:val="00731D13"/>
    <w:rsid w:val="007341D7"/>
    <w:rsid w:val="00736EC8"/>
    <w:rsid w:val="0074023A"/>
    <w:rsid w:val="00740979"/>
    <w:rsid w:val="00742448"/>
    <w:rsid w:val="007448F8"/>
    <w:rsid w:val="007462EA"/>
    <w:rsid w:val="007466C5"/>
    <w:rsid w:val="00750DBC"/>
    <w:rsid w:val="007517DC"/>
    <w:rsid w:val="00752639"/>
    <w:rsid w:val="00752986"/>
    <w:rsid w:val="007560C7"/>
    <w:rsid w:val="00756275"/>
    <w:rsid w:val="007566A8"/>
    <w:rsid w:val="00757219"/>
    <w:rsid w:val="00763FFE"/>
    <w:rsid w:val="0076437C"/>
    <w:rsid w:val="00765595"/>
    <w:rsid w:val="00765846"/>
    <w:rsid w:val="00766074"/>
    <w:rsid w:val="00770718"/>
    <w:rsid w:val="00771FB3"/>
    <w:rsid w:val="00772A76"/>
    <w:rsid w:val="00773304"/>
    <w:rsid w:val="00774698"/>
    <w:rsid w:val="0077486F"/>
    <w:rsid w:val="00775195"/>
    <w:rsid w:val="0077779C"/>
    <w:rsid w:val="00780760"/>
    <w:rsid w:val="007808C9"/>
    <w:rsid w:val="00780BA5"/>
    <w:rsid w:val="00782170"/>
    <w:rsid w:val="00783F0C"/>
    <w:rsid w:val="00784D58"/>
    <w:rsid w:val="007858F8"/>
    <w:rsid w:val="00786F6C"/>
    <w:rsid w:val="00787B5A"/>
    <w:rsid w:val="0079029D"/>
    <w:rsid w:val="00792264"/>
    <w:rsid w:val="007938F9"/>
    <w:rsid w:val="00793D00"/>
    <w:rsid w:val="00795B44"/>
    <w:rsid w:val="007A0599"/>
    <w:rsid w:val="007A0B43"/>
    <w:rsid w:val="007A3AF8"/>
    <w:rsid w:val="007B0514"/>
    <w:rsid w:val="007B27F5"/>
    <w:rsid w:val="007B3D45"/>
    <w:rsid w:val="007B4DDA"/>
    <w:rsid w:val="007B5699"/>
    <w:rsid w:val="007B79D6"/>
    <w:rsid w:val="007BF555"/>
    <w:rsid w:val="007C187A"/>
    <w:rsid w:val="007C2BF3"/>
    <w:rsid w:val="007C2D95"/>
    <w:rsid w:val="007C35E3"/>
    <w:rsid w:val="007C6AB2"/>
    <w:rsid w:val="007C7427"/>
    <w:rsid w:val="007C7FB7"/>
    <w:rsid w:val="007D088F"/>
    <w:rsid w:val="007D1A50"/>
    <w:rsid w:val="007D22CC"/>
    <w:rsid w:val="007D768D"/>
    <w:rsid w:val="007E0DF3"/>
    <w:rsid w:val="007E233D"/>
    <w:rsid w:val="007E2B43"/>
    <w:rsid w:val="007E4CAE"/>
    <w:rsid w:val="007E5214"/>
    <w:rsid w:val="007E5673"/>
    <w:rsid w:val="007E6C30"/>
    <w:rsid w:val="007E7021"/>
    <w:rsid w:val="007E7326"/>
    <w:rsid w:val="007E7ECD"/>
    <w:rsid w:val="007F01AF"/>
    <w:rsid w:val="007F18D5"/>
    <w:rsid w:val="007F2D19"/>
    <w:rsid w:val="007F3D00"/>
    <w:rsid w:val="007F3FAD"/>
    <w:rsid w:val="007F47D0"/>
    <w:rsid w:val="007F4F1D"/>
    <w:rsid w:val="007F613F"/>
    <w:rsid w:val="007F6EB2"/>
    <w:rsid w:val="007F7EF7"/>
    <w:rsid w:val="0080056E"/>
    <w:rsid w:val="00802018"/>
    <w:rsid w:val="00802C4A"/>
    <w:rsid w:val="008031EF"/>
    <w:rsid w:val="00803CB7"/>
    <w:rsid w:val="00810B8F"/>
    <w:rsid w:val="00811774"/>
    <w:rsid w:val="00813A12"/>
    <w:rsid w:val="00814270"/>
    <w:rsid w:val="00814608"/>
    <w:rsid w:val="00816F64"/>
    <w:rsid w:val="00821D86"/>
    <w:rsid w:val="00822D4C"/>
    <w:rsid w:val="00830672"/>
    <w:rsid w:val="0083254E"/>
    <w:rsid w:val="00832DC3"/>
    <w:rsid w:val="00833DEA"/>
    <w:rsid w:val="008342AA"/>
    <w:rsid w:val="00834434"/>
    <w:rsid w:val="00835043"/>
    <w:rsid w:val="008359C6"/>
    <w:rsid w:val="008364B3"/>
    <w:rsid w:val="00836714"/>
    <w:rsid w:val="0083764D"/>
    <w:rsid w:val="00837B1D"/>
    <w:rsid w:val="00837F54"/>
    <w:rsid w:val="0084368F"/>
    <w:rsid w:val="00844DF5"/>
    <w:rsid w:val="008453FD"/>
    <w:rsid w:val="008454F9"/>
    <w:rsid w:val="0084558C"/>
    <w:rsid w:val="00850D93"/>
    <w:rsid w:val="0085255D"/>
    <w:rsid w:val="0085488B"/>
    <w:rsid w:val="00854F15"/>
    <w:rsid w:val="00855E21"/>
    <w:rsid w:val="00863612"/>
    <w:rsid w:val="008638E2"/>
    <w:rsid w:val="0086536F"/>
    <w:rsid w:val="00865D0B"/>
    <w:rsid w:val="00873BC9"/>
    <w:rsid w:val="008743EF"/>
    <w:rsid w:val="00874B5F"/>
    <w:rsid w:val="00874E7C"/>
    <w:rsid w:val="008775FF"/>
    <w:rsid w:val="00880C9D"/>
    <w:rsid w:val="00881869"/>
    <w:rsid w:val="00881F27"/>
    <w:rsid w:val="008827EE"/>
    <w:rsid w:val="00883AAF"/>
    <w:rsid w:val="00883C94"/>
    <w:rsid w:val="00883EE1"/>
    <w:rsid w:val="00884175"/>
    <w:rsid w:val="0088604D"/>
    <w:rsid w:val="0088607B"/>
    <w:rsid w:val="00886688"/>
    <w:rsid w:val="00887C7D"/>
    <w:rsid w:val="00891E4F"/>
    <w:rsid w:val="00893DCC"/>
    <w:rsid w:val="008949CD"/>
    <w:rsid w:val="00894A2B"/>
    <w:rsid w:val="00895080"/>
    <w:rsid w:val="0089539B"/>
    <w:rsid w:val="0089717D"/>
    <w:rsid w:val="00897FE5"/>
    <w:rsid w:val="008A08E2"/>
    <w:rsid w:val="008A096B"/>
    <w:rsid w:val="008A0BC1"/>
    <w:rsid w:val="008A205F"/>
    <w:rsid w:val="008B0A1C"/>
    <w:rsid w:val="008B2693"/>
    <w:rsid w:val="008B2A52"/>
    <w:rsid w:val="008B2CFA"/>
    <w:rsid w:val="008B316F"/>
    <w:rsid w:val="008B344D"/>
    <w:rsid w:val="008B3621"/>
    <w:rsid w:val="008B6558"/>
    <w:rsid w:val="008B7D6C"/>
    <w:rsid w:val="008C0796"/>
    <w:rsid w:val="008C10AE"/>
    <w:rsid w:val="008C1303"/>
    <w:rsid w:val="008C196E"/>
    <w:rsid w:val="008C1E57"/>
    <w:rsid w:val="008C20F4"/>
    <w:rsid w:val="008C4FC8"/>
    <w:rsid w:val="008C55F1"/>
    <w:rsid w:val="008C55F7"/>
    <w:rsid w:val="008C66C0"/>
    <w:rsid w:val="008D0430"/>
    <w:rsid w:val="008D1170"/>
    <w:rsid w:val="008D15F2"/>
    <w:rsid w:val="008D31EF"/>
    <w:rsid w:val="008D3E11"/>
    <w:rsid w:val="008D6358"/>
    <w:rsid w:val="008D6863"/>
    <w:rsid w:val="008E2B8D"/>
    <w:rsid w:val="008E5BD6"/>
    <w:rsid w:val="008E5FE6"/>
    <w:rsid w:val="008E7049"/>
    <w:rsid w:val="008F065A"/>
    <w:rsid w:val="008F077B"/>
    <w:rsid w:val="008F16D9"/>
    <w:rsid w:val="008F220F"/>
    <w:rsid w:val="008F4C34"/>
    <w:rsid w:val="008F575F"/>
    <w:rsid w:val="008F6B53"/>
    <w:rsid w:val="0090055E"/>
    <w:rsid w:val="00900C4F"/>
    <w:rsid w:val="00902A98"/>
    <w:rsid w:val="009052E6"/>
    <w:rsid w:val="00905351"/>
    <w:rsid w:val="009057A6"/>
    <w:rsid w:val="00906FE3"/>
    <w:rsid w:val="00907A0F"/>
    <w:rsid w:val="009111B2"/>
    <w:rsid w:val="00911346"/>
    <w:rsid w:val="00912538"/>
    <w:rsid w:val="00913D34"/>
    <w:rsid w:val="0091562E"/>
    <w:rsid w:val="00915CFC"/>
    <w:rsid w:val="00916D89"/>
    <w:rsid w:val="009173A0"/>
    <w:rsid w:val="00917544"/>
    <w:rsid w:val="00917FB2"/>
    <w:rsid w:val="00920F87"/>
    <w:rsid w:val="00923CC4"/>
    <w:rsid w:val="009245E3"/>
    <w:rsid w:val="00931889"/>
    <w:rsid w:val="0093447E"/>
    <w:rsid w:val="00935F2F"/>
    <w:rsid w:val="00936ACC"/>
    <w:rsid w:val="00937372"/>
    <w:rsid w:val="00937660"/>
    <w:rsid w:val="00940B80"/>
    <w:rsid w:val="00940C06"/>
    <w:rsid w:val="00940EAA"/>
    <w:rsid w:val="00940FB0"/>
    <w:rsid w:val="0094125B"/>
    <w:rsid w:val="009417AF"/>
    <w:rsid w:val="00941CB7"/>
    <w:rsid w:val="00947B06"/>
    <w:rsid w:val="00951746"/>
    <w:rsid w:val="00953AAD"/>
    <w:rsid w:val="00956A2B"/>
    <w:rsid w:val="0096031D"/>
    <w:rsid w:val="00962EB9"/>
    <w:rsid w:val="0096342E"/>
    <w:rsid w:val="009642E8"/>
    <w:rsid w:val="00964B49"/>
    <w:rsid w:val="00965417"/>
    <w:rsid w:val="009654E8"/>
    <w:rsid w:val="00972A4D"/>
    <w:rsid w:val="00972BB4"/>
    <w:rsid w:val="00972BCB"/>
    <w:rsid w:val="009739DD"/>
    <w:rsid w:val="00973BC2"/>
    <w:rsid w:val="00977DCD"/>
    <w:rsid w:val="00980DF3"/>
    <w:rsid w:val="009813D5"/>
    <w:rsid w:val="00981DCA"/>
    <w:rsid w:val="009823DA"/>
    <w:rsid w:val="00983CC7"/>
    <w:rsid w:val="00984725"/>
    <w:rsid w:val="0098716A"/>
    <w:rsid w:val="00987B74"/>
    <w:rsid w:val="0099086C"/>
    <w:rsid w:val="009910CD"/>
    <w:rsid w:val="009945D4"/>
    <w:rsid w:val="00995E64"/>
    <w:rsid w:val="009966CE"/>
    <w:rsid w:val="009A1D16"/>
    <w:rsid w:val="009A2FDD"/>
    <w:rsid w:val="009A4590"/>
    <w:rsid w:val="009A4990"/>
    <w:rsid w:val="009A5389"/>
    <w:rsid w:val="009B3021"/>
    <w:rsid w:val="009B6BB4"/>
    <w:rsid w:val="009B7BFB"/>
    <w:rsid w:val="009C121F"/>
    <w:rsid w:val="009C6AD4"/>
    <w:rsid w:val="009D0165"/>
    <w:rsid w:val="009D07DD"/>
    <w:rsid w:val="009D0935"/>
    <w:rsid w:val="009D5068"/>
    <w:rsid w:val="009D596C"/>
    <w:rsid w:val="009D5E64"/>
    <w:rsid w:val="009D6AFD"/>
    <w:rsid w:val="009D7279"/>
    <w:rsid w:val="009E0B47"/>
    <w:rsid w:val="009E1526"/>
    <w:rsid w:val="009E18D2"/>
    <w:rsid w:val="009E1CC7"/>
    <w:rsid w:val="009E33AE"/>
    <w:rsid w:val="009E3A97"/>
    <w:rsid w:val="009F0750"/>
    <w:rsid w:val="009F0DF4"/>
    <w:rsid w:val="009F2404"/>
    <w:rsid w:val="009F256D"/>
    <w:rsid w:val="009F26D3"/>
    <w:rsid w:val="009F2F4C"/>
    <w:rsid w:val="009F392C"/>
    <w:rsid w:val="009F63A5"/>
    <w:rsid w:val="00A0218F"/>
    <w:rsid w:val="00A03233"/>
    <w:rsid w:val="00A059B7"/>
    <w:rsid w:val="00A06830"/>
    <w:rsid w:val="00A10990"/>
    <w:rsid w:val="00A130B1"/>
    <w:rsid w:val="00A150B9"/>
    <w:rsid w:val="00A1632F"/>
    <w:rsid w:val="00A174CC"/>
    <w:rsid w:val="00A17EB3"/>
    <w:rsid w:val="00A20278"/>
    <w:rsid w:val="00A2042A"/>
    <w:rsid w:val="00A20933"/>
    <w:rsid w:val="00A20D25"/>
    <w:rsid w:val="00A22CB0"/>
    <w:rsid w:val="00A25351"/>
    <w:rsid w:val="00A253EA"/>
    <w:rsid w:val="00A25930"/>
    <w:rsid w:val="00A279BF"/>
    <w:rsid w:val="00A31121"/>
    <w:rsid w:val="00A31447"/>
    <w:rsid w:val="00A31AE7"/>
    <w:rsid w:val="00A3212E"/>
    <w:rsid w:val="00A321AF"/>
    <w:rsid w:val="00A3440B"/>
    <w:rsid w:val="00A352B8"/>
    <w:rsid w:val="00A37512"/>
    <w:rsid w:val="00A400ED"/>
    <w:rsid w:val="00A40AA5"/>
    <w:rsid w:val="00A46249"/>
    <w:rsid w:val="00A52731"/>
    <w:rsid w:val="00A53688"/>
    <w:rsid w:val="00A546D5"/>
    <w:rsid w:val="00A548A1"/>
    <w:rsid w:val="00A55239"/>
    <w:rsid w:val="00A55CDB"/>
    <w:rsid w:val="00A56A69"/>
    <w:rsid w:val="00A56C65"/>
    <w:rsid w:val="00A60BF4"/>
    <w:rsid w:val="00A61CA6"/>
    <w:rsid w:val="00A6263A"/>
    <w:rsid w:val="00A63801"/>
    <w:rsid w:val="00A6566D"/>
    <w:rsid w:val="00A65AB0"/>
    <w:rsid w:val="00A67A53"/>
    <w:rsid w:val="00A67D71"/>
    <w:rsid w:val="00A701B3"/>
    <w:rsid w:val="00A725E2"/>
    <w:rsid w:val="00A72691"/>
    <w:rsid w:val="00A7381E"/>
    <w:rsid w:val="00A73C60"/>
    <w:rsid w:val="00A75D8C"/>
    <w:rsid w:val="00A76026"/>
    <w:rsid w:val="00A8144D"/>
    <w:rsid w:val="00A8265B"/>
    <w:rsid w:val="00A82DBB"/>
    <w:rsid w:val="00A865D3"/>
    <w:rsid w:val="00A90F91"/>
    <w:rsid w:val="00A92195"/>
    <w:rsid w:val="00AA0E59"/>
    <w:rsid w:val="00AA1A2F"/>
    <w:rsid w:val="00AA2CCC"/>
    <w:rsid w:val="00AA334C"/>
    <w:rsid w:val="00AA34FE"/>
    <w:rsid w:val="00AA6791"/>
    <w:rsid w:val="00AA6854"/>
    <w:rsid w:val="00AA70E0"/>
    <w:rsid w:val="00AB14F3"/>
    <w:rsid w:val="00AB19BB"/>
    <w:rsid w:val="00AB6210"/>
    <w:rsid w:val="00AB6715"/>
    <w:rsid w:val="00AB7D34"/>
    <w:rsid w:val="00AC03FE"/>
    <w:rsid w:val="00AC0730"/>
    <w:rsid w:val="00AC2C7E"/>
    <w:rsid w:val="00AC2F50"/>
    <w:rsid w:val="00AC3407"/>
    <w:rsid w:val="00AC672E"/>
    <w:rsid w:val="00AC6927"/>
    <w:rsid w:val="00AC7D68"/>
    <w:rsid w:val="00AD0805"/>
    <w:rsid w:val="00AD288F"/>
    <w:rsid w:val="00AD5161"/>
    <w:rsid w:val="00AD58AE"/>
    <w:rsid w:val="00AD6433"/>
    <w:rsid w:val="00AD7AD4"/>
    <w:rsid w:val="00AE0235"/>
    <w:rsid w:val="00AE4C0E"/>
    <w:rsid w:val="00AE57CD"/>
    <w:rsid w:val="00AE5D50"/>
    <w:rsid w:val="00AE67B4"/>
    <w:rsid w:val="00AE6B7E"/>
    <w:rsid w:val="00AE7371"/>
    <w:rsid w:val="00AE758A"/>
    <w:rsid w:val="00AF41B4"/>
    <w:rsid w:val="00AF49FF"/>
    <w:rsid w:val="00AF6BBF"/>
    <w:rsid w:val="00B0161F"/>
    <w:rsid w:val="00B07ACF"/>
    <w:rsid w:val="00B07C3F"/>
    <w:rsid w:val="00B11444"/>
    <w:rsid w:val="00B12644"/>
    <w:rsid w:val="00B1424A"/>
    <w:rsid w:val="00B14690"/>
    <w:rsid w:val="00B14A60"/>
    <w:rsid w:val="00B17380"/>
    <w:rsid w:val="00B204F4"/>
    <w:rsid w:val="00B23107"/>
    <w:rsid w:val="00B2664B"/>
    <w:rsid w:val="00B302CD"/>
    <w:rsid w:val="00B309BD"/>
    <w:rsid w:val="00B3294A"/>
    <w:rsid w:val="00B33E08"/>
    <w:rsid w:val="00B34BD0"/>
    <w:rsid w:val="00B35CFE"/>
    <w:rsid w:val="00B369B5"/>
    <w:rsid w:val="00B41C14"/>
    <w:rsid w:val="00B41CF4"/>
    <w:rsid w:val="00B41ED5"/>
    <w:rsid w:val="00B45414"/>
    <w:rsid w:val="00B50626"/>
    <w:rsid w:val="00B51691"/>
    <w:rsid w:val="00B525BB"/>
    <w:rsid w:val="00B54E8D"/>
    <w:rsid w:val="00B60C83"/>
    <w:rsid w:val="00B62B6B"/>
    <w:rsid w:val="00B635D3"/>
    <w:rsid w:val="00B65325"/>
    <w:rsid w:val="00B660BC"/>
    <w:rsid w:val="00B70F51"/>
    <w:rsid w:val="00B7324E"/>
    <w:rsid w:val="00B739CF"/>
    <w:rsid w:val="00B774A7"/>
    <w:rsid w:val="00B8025B"/>
    <w:rsid w:val="00B816DD"/>
    <w:rsid w:val="00B8325E"/>
    <w:rsid w:val="00B83733"/>
    <w:rsid w:val="00B86542"/>
    <w:rsid w:val="00B86A47"/>
    <w:rsid w:val="00B86B75"/>
    <w:rsid w:val="00B871AF"/>
    <w:rsid w:val="00B91C92"/>
    <w:rsid w:val="00B91D1E"/>
    <w:rsid w:val="00B93D39"/>
    <w:rsid w:val="00B97208"/>
    <w:rsid w:val="00BA12A6"/>
    <w:rsid w:val="00BA14D4"/>
    <w:rsid w:val="00BA1523"/>
    <w:rsid w:val="00BA18DF"/>
    <w:rsid w:val="00BA2460"/>
    <w:rsid w:val="00BA3DB4"/>
    <w:rsid w:val="00BA435A"/>
    <w:rsid w:val="00BA4E73"/>
    <w:rsid w:val="00BA58B7"/>
    <w:rsid w:val="00BA78DB"/>
    <w:rsid w:val="00BB1B91"/>
    <w:rsid w:val="00BB2C1D"/>
    <w:rsid w:val="00BB48A5"/>
    <w:rsid w:val="00BB5ACF"/>
    <w:rsid w:val="00BC11FB"/>
    <w:rsid w:val="00BC35B9"/>
    <w:rsid w:val="00BC3E2D"/>
    <w:rsid w:val="00BC4252"/>
    <w:rsid w:val="00BC48D5"/>
    <w:rsid w:val="00BC57E0"/>
    <w:rsid w:val="00BC7488"/>
    <w:rsid w:val="00BD08DA"/>
    <w:rsid w:val="00BD3D6F"/>
    <w:rsid w:val="00BD4603"/>
    <w:rsid w:val="00BD48DD"/>
    <w:rsid w:val="00BD6E10"/>
    <w:rsid w:val="00BE0257"/>
    <w:rsid w:val="00BE7408"/>
    <w:rsid w:val="00BF0C6A"/>
    <w:rsid w:val="00BF1A80"/>
    <w:rsid w:val="00BF2D1D"/>
    <w:rsid w:val="00BF6E9A"/>
    <w:rsid w:val="00BF6FCD"/>
    <w:rsid w:val="00C001E8"/>
    <w:rsid w:val="00C01D7D"/>
    <w:rsid w:val="00C040AD"/>
    <w:rsid w:val="00C0458C"/>
    <w:rsid w:val="00C068EC"/>
    <w:rsid w:val="00C07292"/>
    <w:rsid w:val="00C10C9B"/>
    <w:rsid w:val="00C1123D"/>
    <w:rsid w:val="00C11312"/>
    <w:rsid w:val="00C1300C"/>
    <w:rsid w:val="00C16AC1"/>
    <w:rsid w:val="00C1769B"/>
    <w:rsid w:val="00C22D01"/>
    <w:rsid w:val="00C2718A"/>
    <w:rsid w:val="00C3133A"/>
    <w:rsid w:val="00C32F5F"/>
    <w:rsid w:val="00C333F8"/>
    <w:rsid w:val="00C346D2"/>
    <w:rsid w:val="00C34C07"/>
    <w:rsid w:val="00C34CF3"/>
    <w:rsid w:val="00C35C00"/>
    <w:rsid w:val="00C36246"/>
    <w:rsid w:val="00C36279"/>
    <w:rsid w:val="00C37121"/>
    <w:rsid w:val="00C47159"/>
    <w:rsid w:val="00C47D1F"/>
    <w:rsid w:val="00C51BD3"/>
    <w:rsid w:val="00C54434"/>
    <w:rsid w:val="00C54BA3"/>
    <w:rsid w:val="00C5568D"/>
    <w:rsid w:val="00C60315"/>
    <w:rsid w:val="00C644CE"/>
    <w:rsid w:val="00C646B5"/>
    <w:rsid w:val="00C647F3"/>
    <w:rsid w:val="00C64974"/>
    <w:rsid w:val="00C6525C"/>
    <w:rsid w:val="00C658A2"/>
    <w:rsid w:val="00C65B8E"/>
    <w:rsid w:val="00C7085D"/>
    <w:rsid w:val="00C71C9E"/>
    <w:rsid w:val="00C72728"/>
    <w:rsid w:val="00C7602A"/>
    <w:rsid w:val="00C77BE5"/>
    <w:rsid w:val="00C84326"/>
    <w:rsid w:val="00C8508D"/>
    <w:rsid w:val="00C90275"/>
    <w:rsid w:val="00C91464"/>
    <w:rsid w:val="00C91BA2"/>
    <w:rsid w:val="00C92775"/>
    <w:rsid w:val="00C94852"/>
    <w:rsid w:val="00C94CA8"/>
    <w:rsid w:val="00C950F1"/>
    <w:rsid w:val="00C95468"/>
    <w:rsid w:val="00C95BB8"/>
    <w:rsid w:val="00C965E4"/>
    <w:rsid w:val="00CA12C6"/>
    <w:rsid w:val="00CA1E55"/>
    <w:rsid w:val="00CA2282"/>
    <w:rsid w:val="00CA47C4"/>
    <w:rsid w:val="00CA4B2A"/>
    <w:rsid w:val="00CA570D"/>
    <w:rsid w:val="00CB22B2"/>
    <w:rsid w:val="00CB31E3"/>
    <w:rsid w:val="00CC093C"/>
    <w:rsid w:val="00CC0A6F"/>
    <w:rsid w:val="00CC34C0"/>
    <w:rsid w:val="00CC5690"/>
    <w:rsid w:val="00CC73AF"/>
    <w:rsid w:val="00CD1B51"/>
    <w:rsid w:val="00CD2673"/>
    <w:rsid w:val="00CD4104"/>
    <w:rsid w:val="00CD414A"/>
    <w:rsid w:val="00CD5241"/>
    <w:rsid w:val="00CD5490"/>
    <w:rsid w:val="00CD7538"/>
    <w:rsid w:val="00CE2E40"/>
    <w:rsid w:val="00CE3ED0"/>
    <w:rsid w:val="00CE47CF"/>
    <w:rsid w:val="00CE4D9C"/>
    <w:rsid w:val="00CE7C32"/>
    <w:rsid w:val="00CF0FFA"/>
    <w:rsid w:val="00CF137F"/>
    <w:rsid w:val="00CF1877"/>
    <w:rsid w:val="00CF207E"/>
    <w:rsid w:val="00CF21B2"/>
    <w:rsid w:val="00CF2B6E"/>
    <w:rsid w:val="00CF392B"/>
    <w:rsid w:val="00CF4426"/>
    <w:rsid w:val="00CF6A79"/>
    <w:rsid w:val="00D00A11"/>
    <w:rsid w:val="00D00D9E"/>
    <w:rsid w:val="00D01206"/>
    <w:rsid w:val="00D0141D"/>
    <w:rsid w:val="00D02D60"/>
    <w:rsid w:val="00D0508C"/>
    <w:rsid w:val="00D050AC"/>
    <w:rsid w:val="00D05F55"/>
    <w:rsid w:val="00D060F4"/>
    <w:rsid w:val="00D0677B"/>
    <w:rsid w:val="00D07D93"/>
    <w:rsid w:val="00D1339E"/>
    <w:rsid w:val="00D146E3"/>
    <w:rsid w:val="00D1797F"/>
    <w:rsid w:val="00D217CE"/>
    <w:rsid w:val="00D21C39"/>
    <w:rsid w:val="00D21CC2"/>
    <w:rsid w:val="00D21E0C"/>
    <w:rsid w:val="00D23721"/>
    <w:rsid w:val="00D26037"/>
    <w:rsid w:val="00D316B6"/>
    <w:rsid w:val="00D334F7"/>
    <w:rsid w:val="00D34C58"/>
    <w:rsid w:val="00D35F5D"/>
    <w:rsid w:val="00D37FE0"/>
    <w:rsid w:val="00D4000E"/>
    <w:rsid w:val="00D42B9C"/>
    <w:rsid w:val="00D45A22"/>
    <w:rsid w:val="00D47415"/>
    <w:rsid w:val="00D4792C"/>
    <w:rsid w:val="00D47E6B"/>
    <w:rsid w:val="00D50BE2"/>
    <w:rsid w:val="00D515DE"/>
    <w:rsid w:val="00D51E0F"/>
    <w:rsid w:val="00D5213B"/>
    <w:rsid w:val="00D541CC"/>
    <w:rsid w:val="00D55E9F"/>
    <w:rsid w:val="00D57F23"/>
    <w:rsid w:val="00D62890"/>
    <w:rsid w:val="00D62D66"/>
    <w:rsid w:val="00D67A71"/>
    <w:rsid w:val="00D67C0C"/>
    <w:rsid w:val="00D70F64"/>
    <w:rsid w:val="00D73D63"/>
    <w:rsid w:val="00D74718"/>
    <w:rsid w:val="00D74E22"/>
    <w:rsid w:val="00D76127"/>
    <w:rsid w:val="00D80D4D"/>
    <w:rsid w:val="00D81C51"/>
    <w:rsid w:val="00D83142"/>
    <w:rsid w:val="00D83762"/>
    <w:rsid w:val="00D914B0"/>
    <w:rsid w:val="00D953BA"/>
    <w:rsid w:val="00D9699C"/>
    <w:rsid w:val="00DA1655"/>
    <w:rsid w:val="00DA2AC6"/>
    <w:rsid w:val="00DA2D3F"/>
    <w:rsid w:val="00DA6195"/>
    <w:rsid w:val="00DA71E8"/>
    <w:rsid w:val="00DB2961"/>
    <w:rsid w:val="00DB5A4D"/>
    <w:rsid w:val="00DC09CC"/>
    <w:rsid w:val="00DC331C"/>
    <w:rsid w:val="00DC439A"/>
    <w:rsid w:val="00DC4F16"/>
    <w:rsid w:val="00DC51FA"/>
    <w:rsid w:val="00DC61F9"/>
    <w:rsid w:val="00DC6F3F"/>
    <w:rsid w:val="00DC7637"/>
    <w:rsid w:val="00DD062E"/>
    <w:rsid w:val="00DD0859"/>
    <w:rsid w:val="00DD0CDF"/>
    <w:rsid w:val="00DD1CE6"/>
    <w:rsid w:val="00DD1EFB"/>
    <w:rsid w:val="00DD24DF"/>
    <w:rsid w:val="00DD393D"/>
    <w:rsid w:val="00DD5E82"/>
    <w:rsid w:val="00DE03C2"/>
    <w:rsid w:val="00DE4C4C"/>
    <w:rsid w:val="00DE70B6"/>
    <w:rsid w:val="00DE78F3"/>
    <w:rsid w:val="00DF17B2"/>
    <w:rsid w:val="00DF2119"/>
    <w:rsid w:val="00DF37CC"/>
    <w:rsid w:val="00DF388C"/>
    <w:rsid w:val="00DF72E8"/>
    <w:rsid w:val="00E02856"/>
    <w:rsid w:val="00E02A05"/>
    <w:rsid w:val="00E03E7D"/>
    <w:rsid w:val="00E0436D"/>
    <w:rsid w:val="00E04AF7"/>
    <w:rsid w:val="00E05161"/>
    <w:rsid w:val="00E058FA"/>
    <w:rsid w:val="00E067F0"/>
    <w:rsid w:val="00E07981"/>
    <w:rsid w:val="00E128D7"/>
    <w:rsid w:val="00E13519"/>
    <w:rsid w:val="00E140A3"/>
    <w:rsid w:val="00E143DA"/>
    <w:rsid w:val="00E14879"/>
    <w:rsid w:val="00E15052"/>
    <w:rsid w:val="00E1729E"/>
    <w:rsid w:val="00E202C0"/>
    <w:rsid w:val="00E2034E"/>
    <w:rsid w:val="00E25A1E"/>
    <w:rsid w:val="00E262EB"/>
    <w:rsid w:val="00E26516"/>
    <w:rsid w:val="00E315A3"/>
    <w:rsid w:val="00E326C7"/>
    <w:rsid w:val="00E3376F"/>
    <w:rsid w:val="00E33E18"/>
    <w:rsid w:val="00E35635"/>
    <w:rsid w:val="00E36307"/>
    <w:rsid w:val="00E367BA"/>
    <w:rsid w:val="00E373A9"/>
    <w:rsid w:val="00E402A3"/>
    <w:rsid w:val="00E40432"/>
    <w:rsid w:val="00E4119B"/>
    <w:rsid w:val="00E41C33"/>
    <w:rsid w:val="00E44195"/>
    <w:rsid w:val="00E44A04"/>
    <w:rsid w:val="00E44A7E"/>
    <w:rsid w:val="00E47C26"/>
    <w:rsid w:val="00E47C88"/>
    <w:rsid w:val="00E50CB6"/>
    <w:rsid w:val="00E50D24"/>
    <w:rsid w:val="00E51237"/>
    <w:rsid w:val="00E51A79"/>
    <w:rsid w:val="00E5264D"/>
    <w:rsid w:val="00E55F0D"/>
    <w:rsid w:val="00E56160"/>
    <w:rsid w:val="00E56591"/>
    <w:rsid w:val="00E57414"/>
    <w:rsid w:val="00E57D1A"/>
    <w:rsid w:val="00E61775"/>
    <w:rsid w:val="00E6380A"/>
    <w:rsid w:val="00E67E4B"/>
    <w:rsid w:val="00E70929"/>
    <w:rsid w:val="00E70F49"/>
    <w:rsid w:val="00E714A1"/>
    <w:rsid w:val="00E74095"/>
    <w:rsid w:val="00E75525"/>
    <w:rsid w:val="00E7606D"/>
    <w:rsid w:val="00E807BD"/>
    <w:rsid w:val="00E83204"/>
    <w:rsid w:val="00E83D21"/>
    <w:rsid w:val="00E85099"/>
    <w:rsid w:val="00E85813"/>
    <w:rsid w:val="00E86DEC"/>
    <w:rsid w:val="00E91DC7"/>
    <w:rsid w:val="00E92C29"/>
    <w:rsid w:val="00E9385A"/>
    <w:rsid w:val="00E942E4"/>
    <w:rsid w:val="00E95582"/>
    <w:rsid w:val="00E95E4C"/>
    <w:rsid w:val="00E9620E"/>
    <w:rsid w:val="00EA003E"/>
    <w:rsid w:val="00EA1888"/>
    <w:rsid w:val="00EA2260"/>
    <w:rsid w:val="00EA49F2"/>
    <w:rsid w:val="00EA512E"/>
    <w:rsid w:val="00EB28C1"/>
    <w:rsid w:val="00EB2B29"/>
    <w:rsid w:val="00EB35A9"/>
    <w:rsid w:val="00EB3D9B"/>
    <w:rsid w:val="00EB4336"/>
    <w:rsid w:val="00EB4903"/>
    <w:rsid w:val="00EB68B2"/>
    <w:rsid w:val="00EB6E87"/>
    <w:rsid w:val="00EC07E3"/>
    <w:rsid w:val="00EC0DB3"/>
    <w:rsid w:val="00EC1736"/>
    <w:rsid w:val="00EC3BDB"/>
    <w:rsid w:val="00EC7516"/>
    <w:rsid w:val="00ED28DC"/>
    <w:rsid w:val="00ED363F"/>
    <w:rsid w:val="00ED4A40"/>
    <w:rsid w:val="00ED4CB4"/>
    <w:rsid w:val="00ED5AFC"/>
    <w:rsid w:val="00ED6532"/>
    <w:rsid w:val="00ED6D93"/>
    <w:rsid w:val="00EE17DB"/>
    <w:rsid w:val="00EE2B8B"/>
    <w:rsid w:val="00EE68CA"/>
    <w:rsid w:val="00EF2B63"/>
    <w:rsid w:val="00EF53F6"/>
    <w:rsid w:val="00EF5657"/>
    <w:rsid w:val="00EF59D6"/>
    <w:rsid w:val="00EF6869"/>
    <w:rsid w:val="00EF6B23"/>
    <w:rsid w:val="00EF7358"/>
    <w:rsid w:val="00F001D6"/>
    <w:rsid w:val="00F01E1B"/>
    <w:rsid w:val="00F0225B"/>
    <w:rsid w:val="00F04752"/>
    <w:rsid w:val="00F04854"/>
    <w:rsid w:val="00F0590C"/>
    <w:rsid w:val="00F07468"/>
    <w:rsid w:val="00F07500"/>
    <w:rsid w:val="00F11B49"/>
    <w:rsid w:val="00F13042"/>
    <w:rsid w:val="00F15518"/>
    <w:rsid w:val="00F158B8"/>
    <w:rsid w:val="00F24F4E"/>
    <w:rsid w:val="00F26379"/>
    <w:rsid w:val="00F278B0"/>
    <w:rsid w:val="00F27924"/>
    <w:rsid w:val="00F3075A"/>
    <w:rsid w:val="00F30FAB"/>
    <w:rsid w:val="00F3129E"/>
    <w:rsid w:val="00F31C65"/>
    <w:rsid w:val="00F33187"/>
    <w:rsid w:val="00F370A6"/>
    <w:rsid w:val="00F378F0"/>
    <w:rsid w:val="00F37983"/>
    <w:rsid w:val="00F37FB1"/>
    <w:rsid w:val="00F4108B"/>
    <w:rsid w:val="00F42B05"/>
    <w:rsid w:val="00F42B67"/>
    <w:rsid w:val="00F42E70"/>
    <w:rsid w:val="00F45A81"/>
    <w:rsid w:val="00F45DB8"/>
    <w:rsid w:val="00F4654B"/>
    <w:rsid w:val="00F473B2"/>
    <w:rsid w:val="00F50FE5"/>
    <w:rsid w:val="00F510D5"/>
    <w:rsid w:val="00F551A9"/>
    <w:rsid w:val="00F5600A"/>
    <w:rsid w:val="00F61823"/>
    <w:rsid w:val="00F61DFA"/>
    <w:rsid w:val="00F64155"/>
    <w:rsid w:val="00F6473F"/>
    <w:rsid w:val="00F65DD4"/>
    <w:rsid w:val="00F65E13"/>
    <w:rsid w:val="00F70085"/>
    <w:rsid w:val="00F7352F"/>
    <w:rsid w:val="00F73D80"/>
    <w:rsid w:val="00F74828"/>
    <w:rsid w:val="00F7675D"/>
    <w:rsid w:val="00F77BAA"/>
    <w:rsid w:val="00F85E48"/>
    <w:rsid w:val="00F8755D"/>
    <w:rsid w:val="00F8783B"/>
    <w:rsid w:val="00F90300"/>
    <w:rsid w:val="00F930E8"/>
    <w:rsid w:val="00F9419D"/>
    <w:rsid w:val="00F94999"/>
    <w:rsid w:val="00F9570B"/>
    <w:rsid w:val="00F97143"/>
    <w:rsid w:val="00F97DB2"/>
    <w:rsid w:val="00FA03BD"/>
    <w:rsid w:val="00FA2DE7"/>
    <w:rsid w:val="00FA4156"/>
    <w:rsid w:val="00FA4464"/>
    <w:rsid w:val="00FB21E4"/>
    <w:rsid w:val="00FB26E9"/>
    <w:rsid w:val="00FB431A"/>
    <w:rsid w:val="00FB4394"/>
    <w:rsid w:val="00FB498A"/>
    <w:rsid w:val="00FC1409"/>
    <w:rsid w:val="00FC191F"/>
    <w:rsid w:val="00FC261C"/>
    <w:rsid w:val="00FC5B32"/>
    <w:rsid w:val="00FC608C"/>
    <w:rsid w:val="00FC7031"/>
    <w:rsid w:val="00FD1038"/>
    <w:rsid w:val="00FD38AA"/>
    <w:rsid w:val="00FD63ED"/>
    <w:rsid w:val="00FE1B51"/>
    <w:rsid w:val="00FE490E"/>
    <w:rsid w:val="00FE4B40"/>
    <w:rsid w:val="00FE7593"/>
    <w:rsid w:val="00FF2DC5"/>
    <w:rsid w:val="00FF4B0A"/>
    <w:rsid w:val="00FF588A"/>
    <w:rsid w:val="00FF772D"/>
    <w:rsid w:val="010FF492"/>
    <w:rsid w:val="011C049F"/>
    <w:rsid w:val="01240920"/>
    <w:rsid w:val="013CA409"/>
    <w:rsid w:val="017612E3"/>
    <w:rsid w:val="01CBDC09"/>
    <w:rsid w:val="0223FDAD"/>
    <w:rsid w:val="024A45EB"/>
    <w:rsid w:val="028E39D8"/>
    <w:rsid w:val="02AB6913"/>
    <w:rsid w:val="02C47C0B"/>
    <w:rsid w:val="02F16074"/>
    <w:rsid w:val="032B2E79"/>
    <w:rsid w:val="0341AE16"/>
    <w:rsid w:val="034918A4"/>
    <w:rsid w:val="035FFE3A"/>
    <w:rsid w:val="03717FD7"/>
    <w:rsid w:val="03B4349D"/>
    <w:rsid w:val="03BAD39D"/>
    <w:rsid w:val="03D4FEC0"/>
    <w:rsid w:val="03D75BE9"/>
    <w:rsid w:val="03F0EFF7"/>
    <w:rsid w:val="03F5BD8C"/>
    <w:rsid w:val="045B7CC6"/>
    <w:rsid w:val="04770BC8"/>
    <w:rsid w:val="04B7B8CC"/>
    <w:rsid w:val="04DB785B"/>
    <w:rsid w:val="0506252B"/>
    <w:rsid w:val="0581E6AD"/>
    <w:rsid w:val="05C1EE86"/>
    <w:rsid w:val="05F677E7"/>
    <w:rsid w:val="0642251B"/>
    <w:rsid w:val="064865AC"/>
    <w:rsid w:val="06AC7C0E"/>
    <w:rsid w:val="06AF60E0"/>
    <w:rsid w:val="06ED5F0B"/>
    <w:rsid w:val="071DB70E"/>
    <w:rsid w:val="07634A6D"/>
    <w:rsid w:val="077B0ABF"/>
    <w:rsid w:val="07BA43DA"/>
    <w:rsid w:val="07E527D5"/>
    <w:rsid w:val="081A1812"/>
    <w:rsid w:val="081B982C"/>
    <w:rsid w:val="08BE3631"/>
    <w:rsid w:val="08C15225"/>
    <w:rsid w:val="09107B37"/>
    <w:rsid w:val="0980F836"/>
    <w:rsid w:val="09878042"/>
    <w:rsid w:val="0990F049"/>
    <w:rsid w:val="099C61E0"/>
    <w:rsid w:val="0ACD4C85"/>
    <w:rsid w:val="0AF24952"/>
    <w:rsid w:val="0B158F7A"/>
    <w:rsid w:val="0B1D2420"/>
    <w:rsid w:val="0B2D9DB5"/>
    <w:rsid w:val="0B40A09E"/>
    <w:rsid w:val="0B57E993"/>
    <w:rsid w:val="0B9700ED"/>
    <w:rsid w:val="0BB9352D"/>
    <w:rsid w:val="0BF18F5D"/>
    <w:rsid w:val="0C226D46"/>
    <w:rsid w:val="0C59C653"/>
    <w:rsid w:val="0C7B8C59"/>
    <w:rsid w:val="0C7F8F82"/>
    <w:rsid w:val="0CFC701A"/>
    <w:rsid w:val="0D3472A1"/>
    <w:rsid w:val="0D8723F1"/>
    <w:rsid w:val="0D88B9D2"/>
    <w:rsid w:val="0D91E8F0"/>
    <w:rsid w:val="0DA09223"/>
    <w:rsid w:val="0DB93B5B"/>
    <w:rsid w:val="0E1898A4"/>
    <w:rsid w:val="0E51ABA7"/>
    <w:rsid w:val="0E73F4B4"/>
    <w:rsid w:val="0E80092D"/>
    <w:rsid w:val="0E8C4E43"/>
    <w:rsid w:val="0F12773A"/>
    <w:rsid w:val="0F73548B"/>
    <w:rsid w:val="0F74F50D"/>
    <w:rsid w:val="0FC89472"/>
    <w:rsid w:val="104C3B24"/>
    <w:rsid w:val="10BB1837"/>
    <w:rsid w:val="10D44094"/>
    <w:rsid w:val="11261C9F"/>
    <w:rsid w:val="112776CB"/>
    <w:rsid w:val="115A887F"/>
    <w:rsid w:val="1172B3C2"/>
    <w:rsid w:val="11862673"/>
    <w:rsid w:val="124500FA"/>
    <w:rsid w:val="1256E898"/>
    <w:rsid w:val="1266EB25"/>
    <w:rsid w:val="126DE49E"/>
    <w:rsid w:val="12892156"/>
    <w:rsid w:val="12B4911D"/>
    <w:rsid w:val="12D52785"/>
    <w:rsid w:val="12F68C36"/>
    <w:rsid w:val="13012728"/>
    <w:rsid w:val="1307E3CD"/>
    <w:rsid w:val="1336BBAC"/>
    <w:rsid w:val="13993C4A"/>
    <w:rsid w:val="13D2DE67"/>
    <w:rsid w:val="13E517DE"/>
    <w:rsid w:val="13F2B8F9"/>
    <w:rsid w:val="142913CF"/>
    <w:rsid w:val="149CFAA7"/>
    <w:rsid w:val="14A56019"/>
    <w:rsid w:val="153F8EC6"/>
    <w:rsid w:val="15493F1A"/>
    <w:rsid w:val="15624EEA"/>
    <w:rsid w:val="16520F16"/>
    <w:rsid w:val="16A08101"/>
    <w:rsid w:val="16CAE845"/>
    <w:rsid w:val="16D58024"/>
    <w:rsid w:val="1710CCB7"/>
    <w:rsid w:val="175A178D"/>
    <w:rsid w:val="176D40C4"/>
    <w:rsid w:val="17B8BC75"/>
    <w:rsid w:val="17C490FB"/>
    <w:rsid w:val="17D5E8BF"/>
    <w:rsid w:val="17F04387"/>
    <w:rsid w:val="17F299A0"/>
    <w:rsid w:val="1832AD32"/>
    <w:rsid w:val="18520B97"/>
    <w:rsid w:val="18978D12"/>
    <w:rsid w:val="19487D84"/>
    <w:rsid w:val="1A29CA23"/>
    <w:rsid w:val="1A61FA7D"/>
    <w:rsid w:val="1A702A58"/>
    <w:rsid w:val="1AA5A655"/>
    <w:rsid w:val="1AE833E7"/>
    <w:rsid w:val="1B12BF4D"/>
    <w:rsid w:val="1B928F77"/>
    <w:rsid w:val="1C148FD2"/>
    <w:rsid w:val="1C21CF76"/>
    <w:rsid w:val="1C2997A3"/>
    <w:rsid w:val="1C6374D6"/>
    <w:rsid w:val="1CC17362"/>
    <w:rsid w:val="1D10C730"/>
    <w:rsid w:val="1D113239"/>
    <w:rsid w:val="1D26DF98"/>
    <w:rsid w:val="1D5B69B7"/>
    <w:rsid w:val="1D639AF5"/>
    <w:rsid w:val="1D7150E8"/>
    <w:rsid w:val="1E201E4C"/>
    <w:rsid w:val="1E34126F"/>
    <w:rsid w:val="1EB90A93"/>
    <w:rsid w:val="1F16CD4B"/>
    <w:rsid w:val="1F42A2C3"/>
    <w:rsid w:val="1F964772"/>
    <w:rsid w:val="1FBC6F4C"/>
    <w:rsid w:val="1FC221EA"/>
    <w:rsid w:val="20267106"/>
    <w:rsid w:val="205187D0"/>
    <w:rsid w:val="2065B9A6"/>
    <w:rsid w:val="208149B7"/>
    <w:rsid w:val="20F2BF27"/>
    <w:rsid w:val="20FCB5C1"/>
    <w:rsid w:val="210BCA7E"/>
    <w:rsid w:val="219B13E6"/>
    <w:rsid w:val="21DFC580"/>
    <w:rsid w:val="22183E75"/>
    <w:rsid w:val="2223A04A"/>
    <w:rsid w:val="224DFF76"/>
    <w:rsid w:val="2274CA30"/>
    <w:rsid w:val="227E4B52"/>
    <w:rsid w:val="23199250"/>
    <w:rsid w:val="23506D9A"/>
    <w:rsid w:val="239297E7"/>
    <w:rsid w:val="23E2465D"/>
    <w:rsid w:val="241ECE1A"/>
    <w:rsid w:val="2468CA07"/>
    <w:rsid w:val="24959D32"/>
    <w:rsid w:val="24F1A738"/>
    <w:rsid w:val="25378C11"/>
    <w:rsid w:val="25D18DD1"/>
    <w:rsid w:val="25E3875A"/>
    <w:rsid w:val="25F30B63"/>
    <w:rsid w:val="2633EC12"/>
    <w:rsid w:val="26690755"/>
    <w:rsid w:val="268D7799"/>
    <w:rsid w:val="26971218"/>
    <w:rsid w:val="26D71FE5"/>
    <w:rsid w:val="272B5C41"/>
    <w:rsid w:val="274AAF83"/>
    <w:rsid w:val="27E1FAE6"/>
    <w:rsid w:val="27E50EE4"/>
    <w:rsid w:val="27EC3089"/>
    <w:rsid w:val="281A0231"/>
    <w:rsid w:val="282AE997"/>
    <w:rsid w:val="284C66E8"/>
    <w:rsid w:val="286DCF5D"/>
    <w:rsid w:val="2909D873"/>
    <w:rsid w:val="2982E7DF"/>
    <w:rsid w:val="29E6E8E4"/>
    <w:rsid w:val="2A411B84"/>
    <w:rsid w:val="2A4772B8"/>
    <w:rsid w:val="2A593277"/>
    <w:rsid w:val="2A9CA9D2"/>
    <w:rsid w:val="2AA559A2"/>
    <w:rsid w:val="2AB640DA"/>
    <w:rsid w:val="2B29200A"/>
    <w:rsid w:val="2BAFC9CF"/>
    <w:rsid w:val="2C0EFA50"/>
    <w:rsid w:val="2C2F90E9"/>
    <w:rsid w:val="2C4BFC7E"/>
    <w:rsid w:val="2C54C517"/>
    <w:rsid w:val="2C5BCA14"/>
    <w:rsid w:val="2C6D191B"/>
    <w:rsid w:val="2C70812B"/>
    <w:rsid w:val="2C7D0564"/>
    <w:rsid w:val="2CB553F3"/>
    <w:rsid w:val="2CF24AF7"/>
    <w:rsid w:val="2CF44FA2"/>
    <w:rsid w:val="2CF4B34D"/>
    <w:rsid w:val="2CF57B9E"/>
    <w:rsid w:val="2D1610C8"/>
    <w:rsid w:val="2D44D4B2"/>
    <w:rsid w:val="2D45984F"/>
    <w:rsid w:val="2D62C695"/>
    <w:rsid w:val="2DCE2B18"/>
    <w:rsid w:val="2E127634"/>
    <w:rsid w:val="2E346716"/>
    <w:rsid w:val="2E8E32A3"/>
    <w:rsid w:val="2EA16FA0"/>
    <w:rsid w:val="2ECCCCB5"/>
    <w:rsid w:val="2ED2F9C2"/>
    <w:rsid w:val="2F377A11"/>
    <w:rsid w:val="2F4CD304"/>
    <w:rsid w:val="2FACE294"/>
    <w:rsid w:val="30766896"/>
    <w:rsid w:val="307BDDFC"/>
    <w:rsid w:val="30E6099D"/>
    <w:rsid w:val="3157C747"/>
    <w:rsid w:val="3185AD41"/>
    <w:rsid w:val="31A3C1AE"/>
    <w:rsid w:val="31E852A1"/>
    <w:rsid w:val="326F2C63"/>
    <w:rsid w:val="32807DD7"/>
    <w:rsid w:val="328DC7AD"/>
    <w:rsid w:val="32BAC932"/>
    <w:rsid w:val="32F676B2"/>
    <w:rsid w:val="3373C598"/>
    <w:rsid w:val="3382B4EC"/>
    <w:rsid w:val="338B954D"/>
    <w:rsid w:val="3399B3A4"/>
    <w:rsid w:val="33ACCECB"/>
    <w:rsid w:val="33C6EAE1"/>
    <w:rsid w:val="33F2F64E"/>
    <w:rsid w:val="3411B6E6"/>
    <w:rsid w:val="344CC8C2"/>
    <w:rsid w:val="34529F19"/>
    <w:rsid w:val="345DB94C"/>
    <w:rsid w:val="34785230"/>
    <w:rsid w:val="34D08550"/>
    <w:rsid w:val="34D82BC7"/>
    <w:rsid w:val="351B45AE"/>
    <w:rsid w:val="357B80CB"/>
    <w:rsid w:val="359AD9EB"/>
    <w:rsid w:val="35EFDAFA"/>
    <w:rsid w:val="364EE04B"/>
    <w:rsid w:val="36A3DC00"/>
    <w:rsid w:val="36EC7533"/>
    <w:rsid w:val="37493F7C"/>
    <w:rsid w:val="377082DB"/>
    <w:rsid w:val="37A23E61"/>
    <w:rsid w:val="37C74956"/>
    <w:rsid w:val="387715D0"/>
    <w:rsid w:val="38AD6DE9"/>
    <w:rsid w:val="38D828FF"/>
    <w:rsid w:val="399720A7"/>
    <w:rsid w:val="3A782912"/>
    <w:rsid w:val="3A80E03E"/>
    <w:rsid w:val="3AAEE5C7"/>
    <w:rsid w:val="3AAF9C03"/>
    <w:rsid w:val="3AC707C4"/>
    <w:rsid w:val="3B0B126D"/>
    <w:rsid w:val="3B0E389A"/>
    <w:rsid w:val="3B1B7A0E"/>
    <w:rsid w:val="3B431E3F"/>
    <w:rsid w:val="3B52C181"/>
    <w:rsid w:val="3B537603"/>
    <w:rsid w:val="3B70CA2D"/>
    <w:rsid w:val="3B91E9AD"/>
    <w:rsid w:val="3BF5205F"/>
    <w:rsid w:val="3C1CE638"/>
    <w:rsid w:val="3C6575E0"/>
    <w:rsid w:val="3CCF49A2"/>
    <w:rsid w:val="3D18C9FA"/>
    <w:rsid w:val="3D41BBA1"/>
    <w:rsid w:val="3D766291"/>
    <w:rsid w:val="3E0F2ED9"/>
    <w:rsid w:val="3E1FA6A0"/>
    <w:rsid w:val="3E57C256"/>
    <w:rsid w:val="3E6E1C28"/>
    <w:rsid w:val="3E7874CC"/>
    <w:rsid w:val="3E8B16C5"/>
    <w:rsid w:val="3EA7E42C"/>
    <w:rsid w:val="3EC300C2"/>
    <w:rsid w:val="3F007ECA"/>
    <w:rsid w:val="3F091B04"/>
    <w:rsid w:val="3F88E400"/>
    <w:rsid w:val="3FAEF24F"/>
    <w:rsid w:val="400CF379"/>
    <w:rsid w:val="403942D2"/>
    <w:rsid w:val="405ED123"/>
    <w:rsid w:val="40848AFF"/>
    <w:rsid w:val="40E0C88E"/>
    <w:rsid w:val="40E189FA"/>
    <w:rsid w:val="410A23B7"/>
    <w:rsid w:val="410ECC17"/>
    <w:rsid w:val="411555C4"/>
    <w:rsid w:val="4122511B"/>
    <w:rsid w:val="413D54D7"/>
    <w:rsid w:val="41AA4D59"/>
    <w:rsid w:val="42257F10"/>
    <w:rsid w:val="42BFEC9F"/>
    <w:rsid w:val="430294A6"/>
    <w:rsid w:val="43099BAD"/>
    <w:rsid w:val="430AFFDD"/>
    <w:rsid w:val="43335A32"/>
    <w:rsid w:val="436CD7F1"/>
    <w:rsid w:val="43AB8366"/>
    <w:rsid w:val="4450ED93"/>
    <w:rsid w:val="447344B5"/>
    <w:rsid w:val="448EFF1F"/>
    <w:rsid w:val="44D2C014"/>
    <w:rsid w:val="44FA3D0E"/>
    <w:rsid w:val="452EBE8C"/>
    <w:rsid w:val="453D7679"/>
    <w:rsid w:val="4564EEB8"/>
    <w:rsid w:val="4581DE5F"/>
    <w:rsid w:val="45C3ED7C"/>
    <w:rsid w:val="4691599D"/>
    <w:rsid w:val="46DAB1B5"/>
    <w:rsid w:val="472FCE4D"/>
    <w:rsid w:val="474B970E"/>
    <w:rsid w:val="47D0559D"/>
    <w:rsid w:val="47E08418"/>
    <w:rsid w:val="48FADC39"/>
    <w:rsid w:val="490E481C"/>
    <w:rsid w:val="49270937"/>
    <w:rsid w:val="492ED16E"/>
    <w:rsid w:val="4967D430"/>
    <w:rsid w:val="496E2470"/>
    <w:rsid w:val="4971D62A"/>
    <w:rsid w:val="49E5C3BB"/>
    <w:rsid w:val="49F62154"/>
    <w:rsid w:val="4A7C33C9"/>
    <w:rsid w:val="4A90BFC9"/>
    <w:rsid w:val="4AB75315"/>
    <w:rsid w:val="4AC66EB7"/>
    <w:rsid w:val="4AD04A4A"/>
    <w:rsid w:val="4AD10AEC"/>
    <w:rsid w:val="4AE19D57"/>
    <w:rsid w:val="4AECD368"/>
    <w:rsid w:val="4B4B1A4B"/>
    <w:rsid w:val="4B535C92"/>
    <w:rsid w:val="4B99BA14"/>
    <w:rsid w:val="4BA1574D"/>
    <w:rsid w:val="4BE0539B"/>
    <w:rsid w:val="4BE6DF60"/>
    <w:rsid w:val="4C3FF25D"/>
    <w:rsid w:val="4C51C0E5"/>
    <w:rsid w:val="4CAEB78B"/>
    <w:rsid w:val="4D1577AE"/>
    <w:rsid w:val="4D22BE58"/>
    <w:rsid w:val="4D68344C"/>
    <w:rsid w:val="4D82AFC1"/>
    <w:rsid w:val="4DBB89D7"/>
    <w:rsid w:val="4DD18065"/>
    <w:rsid w:val="4DE81248"/>
    <w:rsid w:val="4DFB222D"/>
    <w:rsid w:val="4E18AD6F"/>
    <w:rsid w:val="4ECDC68C"/>
    <w:rsid w:val="4F50F560"/>
    <w:rsid w:val="4F5C7CBD"/>
    <w:rsid w:val="4F9514CD"/>
    <w:rsid w:val="4FC8E188"/>
    <w:rsid w:val="4FD01A0D"/>
    <w:rsid w:val="4FD433A5"/>
    <w:rsid w:val="4FD719A7"/>
    <w:rsid w:val="5035423A"/>
    <w:rsid w:val="507A8B80"/>
    <w:rsid w:val="509508ED"/>
    <w:rsid w:val="50B440FB"/>
    <w:rsid w:val="50D0DCBE"/>
    <w:rsid w:val="51255270"/>
    <w:rsid w:val="5130E52E"/>
    <w:rsid w:val="51A1DCD0"/>
    <w:rsid w:val="51DF557C"/>
    <w:rsid w:val="51E0E022"/>
    <w:rsid w:val="51FA087F"/>
    <w:rsid w:val="5221E14B"/>
    <w:rsid w:val="52234182"/>
    <w:rsid w:val="523AADFB"/>
    <w:rsid w:val="526E1D51"/>
    <w:rsid w:val="52A2F0EA"/>
    <w:rsid w:val="52B375E7"/>
    <w:rsid w:val="52DED8EF"/>
    <w:rsid w:val="53140C0F"/>
    <w:rsid w:val="53BE974B"/>
    <w:rsid w:val="53BF03EF"/>
    <w:rsid w:val="53EC7317"/>
    <w:rsid w:val="53FBF872"/>
    <w:rsid w:val="5482791E"/>
    <w:rsid w:val="54F04879"/>
    <w:rsid w:val="550370E6"/>
    <w:rsid w:val="551AA06A"/>
    <w:rsid w:val="554757F2"/>
    <w:rsid w:val="5613513A"/>
    <w:rsid w:val="563C8B92"/>
    <w:rsid w:val="566F357B"/>
    <w:rsid w:val="56AFB513"/>
    <w:rsid w:val="575649D9"/>
    <w:rsid w:val="57759386"/>
    <w:rsid w:val="579D8B43"/>
    <w:rsid w:val="57D6A19C"/>
    <w:rsid w:val="58CE62A8"/>
    <w:rsid w:val="58D8F14D"/>
    <w:rsid w:val="595933F2"/>
    <w:rsid w:val="59A00380"/>
    <w:rsid w:val="59C6F2CC"/>
    <w:rsid w:val="5A806C2A"/>
    <w:rsid w:val="5ACC34B6"/>
    <w:rsid w:val="5B2DAC88"/>
    <w:rsid w:val="5B4A3CC2"/>
    <w:rsid w:val="5B66714C"/>
    <w:rsid w:val="5B7759F5"/>
    <w:rsid w:val="5B82C63A"/>
    <w:rsid w:val="5BA66CBD"/>
    <w:rsid w:val="5BAAA7C8"/>
    <w:rsid w:val="5BB61E53"/>
    <w:rsid w:val="5BFE47EC"/>
    <w:rsid w:val="5C106EC2"/>
    <w:rsid w:val="5C788F53"/>
    <w:rsid w:val="5C7A10C8"/>
    <w:rsid w:val="5C9ADCA9"/>
    <w:rsid w:val="5CEA3A58"/>
    <w:rsid w:val="5CF8976D"/>
    <w:rsid w:val="5D2A5377"/>
    <w:rsid w:val="5D4E1B20"/>
    <w:rsid w:val="5D50DEA1"/>
    <w:rsid w:val="5D8C8E53"/>
    <w:rsid w:val="5D9CA000"/>
    <w:rsid w:val="5DC79F9E"/>
    <w:rsid w:val="5DD3FE7D"/>
    <w:rsid w:val="5E054BA0"/>
    <w:rsid w:val="5E137CB8"/>
    <w:rsid w:val="5ED591EA"/>
    <w:rsid w:val="5EF39869"/>
    <w:rsid w:val="5F37281B"/>
    <w:rsid w:val="5F57D6ED"/>
    <w:rsid w:val="5F9B5A9B"/>
    <w:rsid w:val="5FAF4D19"/>
    <w:rsid w:val="5FCE67ED"/>
    <w:rsid w:val="5FE9D0BF"/>
    <w:rsid w:val="6000CA33"/>
    <w:rsid w:val="605BD1CA"/>
    <w:rsid w:val="60A33452"/>
    <w:rsid w:val="60B0BE8C"/>
    <w:rsid w:val="60BFA342"/>
    <w:rsid w:val="613BAAE5"/>
    <w:rsid w:val="61846C0A"/>
    <w:rsid w:val="62184C65"/>
    <w:rsid w:val="623A9490"/>
    <w:rsid w:val="62766470"/>
    <w:rsid w:val="629CC842"/>
    <w:rsid w:val="629D1460"/>
    <w:rsid w:val="62A60F95"/>
    <w:rsid w:val="62AF9132"/>
    <w:rsid w:val="62B7D712"/>
    <w:rsid w:val="62DF5A0A"/>
    <w:rsid w:val="630A83EE"/>
    <w:rsid w:val="63554BD3"/>
    <w:rsid w:val="6375A01E"/>
    <w:rsid w:val="63A98927"/>
    <w:rsid w:val="64BDD163"/>
    <w:rsid w:val="64D73105"/>
    <w:rsid w:val="650634D2"/>
    <w:rsid w:val="65268437"/>
    <w:rsid w:val="657C11D6"/>
    <w:rsid w:val="65EFE461"/>
    <w:rsid w:val="6628012F"/>
    <w:rsid w:val="665E58FD"/>
    <w:rsid w:val="6664BB0D"/>
    <w:rsid w:val="66A43F10"/>
    <w:rsid w:val="66B40A46"/>
    <w:rsid w:val="67264ADC"/>
    <w:rsid w:val="673EEB79"/>
    <w:rsid w:val="675DB7FF"/>
    <w:rsid w:val="676D9437"/>
    <w:rsid w:val="67945400"/>
    <w:rsid w:val="67A50502"/>
    <w:rsid w:val="67B5EB45"/>
    <w:rsid w:val="67E937B7"/>
    <w:rsid w:val="68170366"/>
    <w:rsid w:val="685FF910"/>
    <w:rsid w:val="6892F20D"/>
    <w:rsid w:val="68BDD86E"/>
    <w:rsid w:val="68D7570F"/>
    <w:rsid w:val="69158C62"/>
    <w:rsid w:val="692C7CB8"/>
    <w:rsid w:val="6955F6E5"/>
    <w:rsid w:val="69715F5F"/>
    <w:rsid w:val="69815BC3"/>
    <w:rsid w:val="69E6641A"/>
    <w:rsid w:val="6A54850D"/>
    <w:rsid w:val="6A702EFB"/>
    <w:rsid w:val="6A9A56B6"/>
    <w:rsid w:val="6A9CF3BF"/>
    <w:rsid w:val="6AC1E0CD"/>
    <w:rsid w:val="6ADBCC68"/>
    <w:rsid w:val="6ADC991C"/>
    <w:rsid w:val="6B165526"/>
    <w:rsid w:val="6B377504"/>
    <w:rsid w:val="6B824832"/>
    <w:rsid w:val="6B8F0B11"/>
    <w:rsid w:val="6BCDFEF1"/>
    <w:rsid w:val="6BE178FE"/>
    <w:rsid w:val="6C4535DB"/>
    <w:rsid w:val="6C568213"/>
    <w:rsid w:val="6C632C8E"/>
    <w:rsid w:val="6CCB11EA"/>
    <w:rsid w:val="6D084BA8"/>
    <w:rsid w:val="6D093DDF"/>
    <w:rsid w:val="6D27E675"/>
    <w:rsid w:val="6D831190"/>
    <w:rsid w:val="6D8451A8"/>
    <w:rsid w:val="6DFB1181"/>
    <w:rsid w:val="6E1439DE"/>
    <w:rsid w:val="6E4C07A5"/>
    <w:rsid w:val="6E63184C"/>
    <w:rsid w:val="6E650F7F"/>
    <w:rsid w:val="6E657EC8"/>
    <w:rsid w:val="6E6E16CA"/>
    <w:rsid w:val="6E9C7F01"/>
    <w:rsid w:val="6EF493D8"/>
    <w:rsid w:val="6F48BED5"/>
    <w:rsid w:val="6F4A8E26"/>
    <w:rsid w:val="6FAE79A8"/>
    <w:rsid w:val="6FC949E7"/>
    <w:rsid w:val="6FCE354B"/>
    <w:rsid w:val="6FE495C2"/>
    <w:rsid w:val="703E215C"/>
    <w:rsid w:val="70472642"/>
    <w:rsid w:val="7061D3E8"/>
    <w:rsid w:val="7132FBAF"/>
    <w:rsid w:val="71692ECA"/>
    <w:rsid w:val="71829468"/>
    <w:rsid w:val="71D360B6"/>
    <w:rsid w:val="71DBE430"/>
    <w:rsid w:val="71FC3310"/>
    <w:rsid w:val="724DC7D7"/>
    <w:rsid w:val="72509C10"/>
    <w:rsid w:val="7256A266"/>
    <w:rsid w:val="72573DF6"/>
    <w:rsid w:val="72FEEC22"/>
    <w:rsid w:val="731016A7"/>
    <w:rsid w:val="73159E97"/>
    <w:rsid w:val="7358A9F3"/>
    <w:rsid w:val="73AF225D"/>
    <w:rsid w:val="73BAD44E"/>
    <w:rsid w:val="73CBEA07"/>
    <w:rsid w:val="73E87B96"/>
    <w:rsid w:val="73F31B3D"/>
    <w:rsid w:val="74059F2E"/>
    <w:rsid w:val="740D740B"/>
    <w:rsid w:val="7412AFD6"/>
    <w:rsid w:val="741B8352"/>
    <w:rsid w:val="7481EACB"/>
    <w:rsid w:val="7482A0F2"/>
    <w:rsid w:val="748392AD"/>
    <w:rsid w:val="753F743B"/>
    <w:rsid w:val="75658D39"/>
    <w:rsid w:val="759CD080"/>
    <w:rsid w:val="75F196B9"/>
    <w:rsid w:val="763E0D63"/>
    <w:rsid w:val="76449710"/>
    <w:rsid w:val="76533F18"/>
    <w:rsid w:val="76639782"/>
    <w:rsid w:val="76786143"/>
    <w:rsid w:val="768E7DE7"/>
    <w:rsid w:val="768FF147"/>
    <w:rsid w:val="7706D474"/>
    <w:rsid w:val="770FDD85"/>
    <w:rsid w:val="772281DC"/>
    <w:rsid w:val="77363D0F"/>
    <w:rsid w:val="77674980"/>
    <w:rsid w:val="777A2E41"/>
    <w:rsid w:val="778D671A"/>
    <w:rsid w:val="77C6C14A"/>
    <w:rsid w:val="77D450EE"/>
    <w:rsid w:val="781B29D7"/>
    <w:rsid w:val="7839A742"/>
    <w:rsid w:val="78422153"/>
    <w:rsid w:val="7843A70B"/>
    <w:rsid w:val="787895B6"/>
    <w:rsid w:val="78CDBAFF"/>
    <w:rsid w:val="78E2A7B6"/>
    <w:rsid w:val="79226424"/>
    <w:rsid w:val="7956AC62"/>
    <w:rsid w:val="795703D0"/>
    <w:rsid w:val="79610193"/>
    <w:rsid w:val="796297B6"/>
    <w:rsid w:val="798610FC"/>
    <w:rsid w:val="79E86915"/>
    <w:rsid w:val="7A155EF0"/>
    <w:rsid w:val="7A3ED176"/>
    <w:rsid w:val="7A454DA0"/>
    <w:rsid w:val="7A66AE0B"/>
    <w:rsid w:val="7A6C3592"/>
    <w:rsid w:val="7A6D792A"/>
    <w:rsid w:val="7A7E6F0E"/>
    <w:rsid w:val="7AD629BE"/>
    <w:rsid w:val="7B117E86"/>
    <w:rsid w:val="7B9F82B7"/>
    <w:rsid w:val="7BC62F96"/>
    <w:rsid w:val="7BD10177"/>
    <w:rsid w:val="7BD56FC5"/>
    <w:rsid w:val="7BDB0466"/>
    <w:rsid w:val="7BDF2BE3"/>
    <w:rsid w:val="7BE69724"/>
    <w:rsid w:val="7C33BA82"/>
    <w:rsid w:val="7C422F4C"/>
    <w:rsid w:val="7C8FA2C4"/>
    <w:rsid w:val="7CAD4EE7"/>
    <w:rsid w:val="7CADDC4F"/>
    <w:rsid w:val="7D50C97C"/>
    <w:rsid w:val="7D5A2F1A"/>
    <w:rsid w:val="7D5C4E24"/>
    <w:rsid w:val="7D804EE3"/>
    <w:rsid w:val="7D985453"/>
    <w:rsid w:val="7DA144BB"/>
    <w:rsid w:val="7DDD4622"/>
    <w:rsid w:val="7E21A6D4"/>
    <w:rsid w:val="7E2305BF"/>
    <w:rsid w:val="7E459F76"/>
    <w:rsid w:val="7E97E285"/>
    <w:rsid w:val="7F26BAD2"/>
    <w:rsid w:val="7F307C47"/>
    <w:rsid w:val="7F4CF25C"/>
    <w:rsid w:val="7F6411EC"/>
    <w:rsid w:val="7F74D83B"/>
    <w:rsid w:val="7FEB898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2781A"/>
  <w15:docId w15:val="{4D54047C-DBC9-40A1-A845-8C996D89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2A3"/>
    <w:rPr>
      <w:rFonts w:ascii="Aptos" w:hAnsi="Aptos"/>
      <w:szCs w:val="20"/>
      <w:lang w:val="en-GB"/>
    </w:rPr>
  </w:style>
  <w:style w:type="paragraph" w:styleId="Heading1">
    <w:name w:val="heading 1"/>
    <w:basedOn w:val="Normal"/>
    <w:next w:val="Normal"/>
    <w:link w:val="Heading1Char"/>
    <w:uiPriority w:val="9"/>
    <w:qFormat/>
    <w:rsid w:val="00A61CA6"/>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A61CA6"/>
    <w:pPr>
      <w:keepNext/>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A61CA6"/>
    <w:pPr>
      <w:keepNext/>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E47C88"/>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unhideWhenUsed/>
    <w:qFormat/>
    <w:rsid w:val="00E47C88"/>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unhideWhenUsed/>
    <w:qFormat/>
    <w:rsid w:val="00E47C88"/>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unhideWhenUsed/>
    <w:qFormat/>
    <w:rsid w:val="00E47C88"/>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unhideWhenUsed/>
    <w:qFormat/>
    <w:rsid w:val="00E47C88"/>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E47C8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61CA6"/>
    <w:pPr>
      <w:spacing w:before="180" w:after="180"/>
      <w:jc w:val="both"/>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Normal"/>
    <w:link w:val="TitleChar"/>
    <w:uiPriority w:val="10"/>
    <w:qFormat/>
    <w:rsid w:val="00E47C88"/>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E47C88"/>
    <w:pPr>
      <w:spacing w:after="1000" w:line="240" w:lineRule="auto"/>
    </w:pPr>
    <w:rPr>
      <w:caps/>
      <w:color w:val="595959" w:themeColor="text1" w:themeTint="A6"/>
      <w:spacing w:val="10"/>
      <w:sz w:val="24"/>
      <w:szCs w:val="24"/>
    </w:rPr>
  </w:style>
  <w:style w:type="paragraph" w:customStyle="1" w:styleId="BasicBulletList">
    <w:name w:val="Basic Bullet List"/>
    <w:basedOn w:val="BodyText"/>
    <w:qFormat/>
    <w:rsid w:val="004103E1"/>
    <w:pPr>
      <w:numPr>
        <w:numId w:val="1"/>
      </w:numPr>
    </w:pPr>
    <w:rPr>
      <w:color w:val="000000" w:themeColor="text1"/>
    </w:rPr>
  </w:style>
  <w:style w:type="paragraph" w:styleId="Bibliography">
    <w:name w:val="Bibliography"/>
    <w:basedOn w:val="Normal"/>
    <w:qFormat/>
  </w:style>
  <w:style w:type="table" w:customStyle="1" w:styleId="Table">
    <w:name w:val="Table"/>
    <w:semiHidden/>
    <w:unhideWhenUsed/>
    <w:qFormat/>
    <w:tblPr>
      <w:tblInd w:w="0" w:type="dxa"/>
      <w:tblCellMar>
        <w:top w:w="0" w:type="dxa"/>
        <w:left w:w="108" w:type="dxa"/>
        <w:bottom w:w="0" w:type="dxa"/>
        <w:right w:w="108" w:type="dxa"/>
      </w:tblCellMar>
    </w:tblPr>
  </w:style>
  <w:style w:type="character" w:styleId="Hyperlink">
    <w:name w:val="Hyperlink"/>
    <w:basedOn w:val="DefaultParagraphFont"/>
    <w:uiPriority w:val="99"/>
    <w:rsid w:val="00710DAE"/>
    <w:rPr>
      <w:b/>
      <w:bCs/>
      <w:caps w:val="0"/>
      <w:color w:val="4472C4" w:themeColor="accent1"/>
      <w:sz w:val="16"/>
      <w:szCs w:val="18"/>
    </w:rPr>
  </w:style>
  <w:style w:type="paragraph" w:styleId="TOCHeading">
    <w:name w:val="TOC Heading"/>
    <w:basedOn w:val="Heading1"/>
    <w:next w:val="Normal"/>
    <w:uiPriority w:val="39"/>
    <w:unhideWhenUsed/>
    <w:qFormat/>
    <w:rsid w:val="00E47C88"/>
    <w:pPr>
      <w:outlineLvl w:val="9"/>
    </w:pPr>
  </w:style>
  <w:style w:type="character" w:styleId="FollowedHyperlink">
    <w:name w:val="FollowedHyperlink"/>
    <w:basedOn w:val="DefaultParagraphFont"/>
    <w:semiHidden/>
    <w:unhideWhenUsed/>
    <w:rsid w:val="008359C6"/>
    <w:rPr>
      <w:color w:val="954F72" w:themeColor="followedHyperlink"/>
      <w:u w:val="single"/>
    </w:rPr>
  </w:style>
  <w:style w:type="paragraph" w:styleId="TOC1">
    <w:name w:val="toc 1"/>
    <w:basedOn w:val="Normal"/>
    <w:next w:val="Normal"/>
    <w:autoRedefine/>
    <w:uiPriority w:val="39"/>
    <w:unhideWhenUsed/>
    <w:rsid w:val="00B86A47"/>
    <w:pPr>
      <w:spacing w:after="0"/>
    </w:pPr>
    <w:rPr>
      <w:rFonts w:cs="Times New Roman (Body CS)"/>
      <w:b/>
      <w:bCs/>
      <w:iCs/>
      <w:sz w:val="24"/>
    </w:rPr>
  </w:style>
  <w:style w:type="paragraph" w:styleId="TOC2">
    <w:name w:val="toc 2"/>
    <w:basedOn w:val="Normal"/>
    <w:next w:val="Normal"/>
    <w:autoRedefine/>
    <w:uiPriority w:val="39"/>
    <w:unhideWhenUsed/>
    <w:rsid w:val="00492BC8"/>
    <w:pPr>
      <w:spacing w:before="160" w:after="0"/>
      <w:ind w:left="238"/>
    </w:pPr>
    <w:rPr>
      <w:b/>
      <w:bCs/>
      <w:szCs w:val="22"/>
    </w:rPr>
  </w:style>
  <w:style w:type="paragraph" w:styleId="TOC3">
    <w:name w:val="toc 3"/>
    <w:basedOn w:val="Normal"/>
    <w:next w:val="Normal"/>
    <w:autoRedefine/>
    <w:uiPriority w:val="39"/>
    <w:unhideWhenUsed/>
    <w:rsid w:val="00492BC8"/>
    <w:pPr>
      <w:tabs>
        <w:tab w:val="right" w:leader="dot" w:pos="9350"/>
      </w:tabs>
      <w:spacing w:before="120" w:after="0"/>
      <w:ind w:left="482"/>
    </w:pPr>
  </w:style>
  <w:style w:type="paragraph" w:styleId="TOC4">
    <w:name w:val="toc 4"/>
    <w:basedOn w:val="Normal"/>
    <w:next w:val="Normal"/>
    <w:autoRedefine/>
    <w:semiHidden/>
    <w:unhideWhenUsed/>
    <w:rsid w:val="008359C6"/>
    <w:pPr>
      <w:spacing w:after="0"/>
      <w:ind w:left="720"/>
    </w:pPr>
  </w:style>
  <w:style w:type="paragraph" w:styleId="TOC5">
    <w:name w:val="toc 5"/>
    <w:basedOn w:val="Normal"/>
    <w:next w:val="Normal"/>
    <w:autoRedefine/>
    <w:semiHidden/>
    <w:unhideWhenUsed/>
    <w:rsid w:val="008359C6"/>
    <w:pPr>
      <w:spacing w:after="0"/>
      <w:ind w:left="960"/>
    </w:pPr>
  </w:style>
  <w:style w:type="paragraph" w:styleId="TOC6">
    <w:name w:val="toc 6"/>
    <w:basedOn w:val="Normal"/>
    <w:next w:val="Normal"/>
    <w:autoRedefine/>
    <w:semiHidden/>
    <w:unhideWhenUsed/>
    <w:rsid w:val="008359C6"/>
    <w:pPr>
      <w:spacing w:after="0"/>
      <w:ind w:left="1200"/>
    </w:pPr>
  </w:style>
  <w:style w:type="paragraph" w:styleId="TOC7">
    <w:name w:val="toc 7"/>
    <w:basedOn w:val="Normal"/>
    <w:next w:val="Normal"/>
    <w:autoRedefine/>
    <w:semiHidden/>
    <w:unhideWhenUsed/>
    <w:rsid w:val="008359C6"/>
    <w:pPr>
      <w:spacing w:after="0"/>
      <w:ind w:left="1440"/>
    </w:pPr>
  </w:style>
  <w:style w:type="paragraph" w:styleId="TOC8">
    <w:name w:val="toc 8"/>
    <w:basedOn w:val="Normal"/>
    <w:next w:val="Normal"/>
    <w:autoRedefine/>
    <w:semiHidden/>
    <w:unhideWhenUsed/>
    <w:rsid w:val="008359C6"/>
    <w:pPr>
      <w:spacing w:after="0"/>
      <w:ind w:left="1680"/>
    </w:pPr>
  </w:style>
  <w:style w:type="paragraph" w:styleId="TOC9">
    <w:name w:val="toc 9"/>
    <w:basedOn w:val="Normal"/>
    <w:next w:val="Normal"/>
    <w:autoRedefine/>
    <w:semiHidden/>
    <w:unhideWhenUsed/>
    <w:rsid w:val="008359C6"/>
    <w:pPr>
      <w:spacing w:after="0"/>
      <w:ind w:left="1920"/>
    </w:pPr>
  </w:style>
  <w:style w:type="character" w:customStyle="1" w:styleId="Heading1Char">
    <w:name w:val="Heading 1 Char"/>
    <w:basedOn w:val="DefaultParagraphFont"/>
    <w:link w:val="Heading1"/>
    <w:uiPriority w:val="9"/>
    <w:rsid w:val="00A61CA6"/>
    <w:rPr>
      <w:rFonts w:ascii="Aptos" w:hAnsi="Aptos"/>
      <w:b/>
      <w:bCs/>
      <w:caps/>
      <w:color w:val="FFFFFF" w:themeColor="background1"/>
      <w:spacing w:val="15"/>
      <w:shd w:val="clear" w:color="auto" w:fill="4472C4" w:themeFill="accent1"/>
      <w:lang w:val="en-GB"/>
    </w:rPr>
  </w:style>
  <w:style w:type="character" w:customStyle="1" w:styleId="Heading2Char">
    <w:name w:val="Heading 2 Char"/>
    <w:basedOn w:val="DefaultParagraphFont"/>
    <w:link w:val="Heading2"/>
    <w:uiPriority w:val="9"/>
    <w:rsid w:val="00A61CA6"/>
    <w:rPr>
      <w:rFonts w:ascii="Aptos" w:hAnsi="Aptos"/>
      <w:caps/>
      <w:spacing w:val="15"/>
      <w:shd w:val="clear" w:color="auto" w:fill="D9E2F3" w:themeFill="accent1" w:themeFillTint="33"/>
      <w:lang w:val="en-GB"/>
    </w:rPr>
  </w:style>
  <w:style w:type="character" w:customStyle="1" w:styleId="Heading3Char">
    <w:name w:val="Heading 3 Char"/>
    <w:basedOn w:val="DefaultParagraphFont"/>
    <w:link w:val="Heading3"/>
    <w:uiPriority w:val="9"/>
    <w:rsid w:val="00A61CA6"/>
    <w:rPr>
      <w:rFonts w:ascii="Aptos" w:hAnsi="Aptos"/>
      <w:caps/>
      <w:color w:val="1F3763" w:themeColor="accent1" w:themeShade="7F"/>
      <w:spacing w:val="15"/>
      <w:lang w:val="en-GB"/>
    </w:rPr>
  </w:style>
  <w:style w:type="character" w:customStyle="1" w:styleId="Heading4Char">
    <w:name w:val="Heading 4 Char"/>
    <w:basedOn w:val="DefaultParagraphFont"/>
    <w:link w:val="Heading4"/>
    <w:uiPriority w:val="9"/>
    <w:rsid w:val="00E47C88"/>
    <w:rPr>
      <w:caps/>
      <w:color w:val="2F5496" w:themeColor="accent1" w:themeShade="BF"/>
      <w:spacing w:val="10"/>
    </w:rPr>
  </w:style>
  <w:style w:type="character" w:customStyle="1" w:styleId="Heading5Char">
    <w:name w:val="Heading 5 Char"/>
    <w:basedOn w:val="DefaultParagraphFont"/>
    <w:link w:val="Heading5"/>
    <w:uiPriority w:val="9"/>
    <w:rsid w:val="00E47C88"/>
    <w:rPr>
      <w:caps/>
      <w:color w:val="2F5496" w:themeColor="accent1" w:themeShade="BF"/>
      <w:spacing w:val="10"/>
    </w:rPr>
  </w:style>
  <w:style w:type="character" w:customStyle="1" w:styleId="Heading6Char">
    <w:name w:val="Heading 6 Char"/>
    <w:basedOn w:val="DefaultParagraphFont"/>
    <w:link w:val="Heading6"/>
    <w:uiPriority w:val="9"/>
    <w:rsid w:val="00E47C88"/>
    <w:rPr>
      <w:caps/>
      <w:color w:val="2F5496" w:themeColor="accent1" w:themeShade="BF"/>
      <w:spacing w:val="10"/>
    </w:rPr>
  </w:style>
  <w:style w:type="character" w:customStyle="1" w:styleId="Heading7Char">
    <w:name w:val="Heading 7 Char"/>
    <w:basedOn w:val="DefaultParagraphFont"/>
    <w:link w:val="Heading7"/>
    <w:uiPriority w:val="9"/>
    <w:rsid w:val="00E47C88"/>
    <w:rPr>
      <w:caps/>
      <w:color w:val="2F5496" w:themeColor="accent1" w:themeShade="BF"/>
      <w:spacing w:val="10"/>
    </w:rPr>
  </w:style>
  <w:style w:type="character" w:customStyle="1" w:styleId="Heading8Char">
    <w:name w:val="Heading 8 Char"/>
    <w:basedOn w:val="DefaultParagraphFont"/>
    <w:link w:val="Heading8"/>
    <w:uiPriority w:val="9"/>
    <w:rsid w:val="00E47C88"/>
    <w:rPr>
      <w:caps/>
      <w:spacing w:val="10"/>
      <w:sz w:val="18"/>
      <w:szCs w:val="18"/>
    </w:rPr>
  </w:style>
  <w:style w:type="character" w:customStyle="1" w:styleId="Heading9Char">
    <w:name w:val="Heading 9 Char"/>
    <w:basedOn w:val="DefaultParagraphFont"/>
    <w:link w:val="Heading9"/>
    <w:uiPriority w:val="9"/>
    <w:rsid w:val="00E47C88"/>
    <w:rPr>
      <w:i/>
      <w:caps/>
      <w:spacing w:val="10"/>
      <w:sz w:val="18"/>
      <w:szCs w:val="18"/>
    </w:rPr>
  </w:style>
  <w:style w:type="character" w:customStyle="1" w:styleId="TitleChar">
    <w:name w:val="Title Char"/>
    <w:basedOn w:val="DefaultParagraphFont"/>
    <w:link w:val="Title"/>
    <w:uiPriority w:val="10"/>
    <w:rsid w:val="00E47C88"/>
    <w:rPr>
      <w:caps/>
      <w:color w:val="4472C4" w:themeColor="accent1"/>
      <w:spacing w:val="10"/>
      <w:kern w:val="28"/>
      <w:sz w:val="52"/>
      <w:szCs w:val="52"/>
    </w:rPr>
  </w:style>
  <w:style w:type="character" w:customStyle="1" w:styleId="SubtitleChar">
    <w:name w:val="Subtitle Char"/>
    <w:basedOn w:val="DefaultParagraphFont"/>
    <w:link w:val="Subtitle"/>
    <w:uiPriority w:val="11"/>
    <w:rsid w:val="00E47C88"/>
    <w:rPr>
      <w:caps/>
      <w:color w:val="595959" w:themeColor="text1" w:themeTint="A6"/>
      <w:spacing w:val="10"/>
      <w:sz w:val="24"/>
      <w:szCs w:val="24"/>
    </w:rPr>
  </w:style>
  <w:style w:type="character" w:styleId="Emphasis">
    <w:name w:val="Emphasis"/>
    <w:uiPriority w:val="20"/>
    <w:qFormat/>
    <w:rsid w:val="00E47C88"/>
    <w:rPr>
      <w:caps/>
      <w:color w:val="1F3763" w:themeColor="accent1" w:themeShade="7F"/>
      <w:spacing w:val="5"/>
    </w:rPr>
  </w:style>
  <w:style w:type="paragraph" w:styleId="ListParagraph">
    <w:name w:val="List Paragraph"/>
    <w:basedOn w:val="Normal"/>
    <w:uiPriority w:val="34"/>
    <w:qFormat/>
    <w:rsid w:val="00E47C88"/>
    <w:pPr>
      <w:ind w:left="720"/>
      <w:contextualSpacing/>
    </w:pPr>
  </w:style>
  <w:style w:type="character" w:customStyle="1" w:styleId="UnresolvedMention1">
    <w:name w:val="Unresolved Mention1"/>
    <w:basedOn w:val="DefaultParagraphFont"/>
    <w:uiPriority w:val="99"/>
    <w:semiHidden/>
    <w:unhideWhenUsed/>
    <w:rsid w:val="00BA18DF"/>
    <w:rPr>
      <w:color w:val="605E5C"/>
      <w:shd w:val="clear" w:color="auto" w:fill="E1DFDD"/>
    </w:rPr>
  </w:style>
  <w:style w:type="paragraph" w:styleId="BalloonText">
    <w:name w:val="Balloon Text"/>
    <w:basedOn w:val="Normal"/>
    <w:link w:val="BalloonTextChar"/>
    <w:semiHidden/>
    <w:unhideWhenUsed/>
    <w:rsid w:val="00833DE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833DEA"/>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B50626"/>
    <w:rPr>
      <w:color w:val="605E5C"/>
      <w:shd w:val="clear" w:color="auto" w:fill="E1DFDD"/>
    </w:rPr>
  </w:style>
  <w:style w:type="character" w:styleId="PlaceholderText">
    <w:name w:val="Placeholder Text"/>
    <w:basedOn w:val="DefaultParagraphFont"/>
    <w:semiHidden/>
    <w:rsid w:val="00127806"/>
    <w:rPr>
      <w:color w:val="808080"/>
    </w:rPr>
  </w:style>
  <w:style w:type="character" w:customStyle="1" w:styleId="BodyTextChar">
    <w:name w:val="Body Text Char"/>
    <w:basedOn w:val="DefaultParagraphFont"/>
    <w:link w:val="BodyText"/>
    <w:rsid w:val="00A61CA6"/>
    <w:rPr>
      <w:rFonts w:ascii="Aptos" w:hAnsi="Aptos"/>
      <w:szCs w:val="20"/>
      <w:lang w:val="en-GB"/>
    </w:rPr>
  </w:style>
  <w:style w:type="paragraph" w:customStyle="1" w:styleId="paragraph">
    <w:name w:val="paragraph"/>
    <w:basedOn w:val="Normal"/>
    <w:rsid w:val="00746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62EA"/>
  </w:style>
  <w:style w:type="paragraph" w:styleId="NormalWeb">
    <w:name w:val="Normal (Web)"/>
    <w:basedOn w:val="Normal"/>
    <w:uiPriority w:val="99"/>
    <w:unhideWhenUsed/>
    <w:rsid w:val="002D76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D953BA"/>
    <w:rPr>
      <w:color w:val="605E5C"/>
      <w:shd w:val="clear" w:color="auto" w:fill="E1DFDD"/>
    </w:rPr>
  </w:style>
  <w:style w:type="character" w:customStyle="1" w:styleId="NewHyperlink">
    <w:name w:val="New Hyperlink"/>
    <w:basedOn w:val="DefaultParagraphFont"/>
    <w:uiPriority w:val="1"/>
    <w:qFormat/>
    <w:rsid w:val="007F47D0"/>
    <w:rPr>
      <w:rFonts w:eastAsiaTheme="majorEastAsia"/>
      <w:b/>
      <w:color w:val="0070C0"/>
      <w:szCs w:val="22"/>
    </w:rPr>
  </w:style>
  <w:style w:type="paragraph" w:styleId="Header">
    <w:name w:val="header"/>
    <w:basedOn w:val="Normal"/>
    <w:link w:val="HeaderChar"/>
    <w:unhideWhenUsed/>
    <w:rsid w:val="00E04AF7"/>
    <w:pPr>
      <w:tabs>
        <w:tab w:val="center" w:pos="4513"/>
        <w:tab w:val="right" w:pos="9026"/>
      </w:tabs>
      <w:spacing w:before="0" w:after="0" w:line="240" w:lineRule="auto"/>
    </w:pPr>
  </w:style>
  <w:style w:type="character" w:customStyle="1" w:styleId="HeaderChar">
    <w:name w:val="Header Char"/>
    <w:basedOn w:val="DefaultParagraphFont"/>
    <w:link w:val="Header"/>
    <w:rsid w:val="00E04AF7"/>
    <w:rPr>
      <w:rFonts w:ascii="Aptos" w:hAnsi="Aptos"/>
      <w:szCs w:val="20"/>
      <w:lang w:val="en-GB"/>
    </w:rPr>
  </w:style>
  <w:style w:type="paragraph" w:styleId="Footer">
    <w:name w:val="footer"/>
    <w:basedOn w:val="Normal"/>
    <w:link w:val="FooterChar"/>
    <w:uiPriority w:val="99"/>
    <w:unhideWhenUsed/>
    <w:rsid w:val="00E04A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04AF7"/>
    <w:rPr>
      <w:rFonts w:ascii="Aptos" w:hAnsi="Aptos"/>
      <w:szCs w:val="20"/>
      <w:lang w:val="en-GB"/>
    </w:rPr>
  </w:style>
  <w:style w:type="character" w:styleId="PageNumber">
    <w:name w:val="page number"/>
    <w:basedOn w:val="DefaultParagraphFont"/>
    <w:semiHidden/>
    <w:unhideWhenUsed/>
    <w:rsid w:val="00E04AF7"/>
  </w:style>
  <w:style w:type="character" w:customStyle="1" w:styleId="Person">
    <w:name w:val="Person"/>
    <w:basedOn w:val="DefaultParagraphFont"/>
    <w:uiPriority w:val="1"/>
    <w:qFormat/>
    <w:rsid w:val="00492BC8"/>
    <w:rPr>
      <w:b/>
      <w:color w:val="auto"/>
    </w:rPr>
  </w:style>
  <w:style w:type="table" w:styleId="TableGrid">
    <w:name w:val="Table Grid"/>
    <w:basedOn w:val="TableNormal"/>
    <w:rsid w:val="00AC03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NumberedList">
    <w:name w:val="Basic Numbered List"/>
    <w:basedOn w:val="BodyText"/>
    <w:qFormat/>
    <w:rsid w:val="00170639"/>
    <w:pPr>
      <w:numPr>
        <w:numId w:val="2"/>
      </w:numPr>
      <w:spacing w:before="120" w:after="0"/>
    </w:pPr>
  </w:style>
  <w:style w:type="character" w:styleId="CommentReference">
    <w:name w:val="annotation reference"/>
    <w:basedOn w:val="DefaultParagraphFont"/>
    <w:semiHidden/>
    <w:unhideWhenUsed/>
    <w:rsid w:val="007B79D6"/>
    <w:rPr>
      <w:sz w:val="16"/>
      <w:szCs w:val="16"/>
    </w:rPr>
  </w:style>
  <w:style w:type="paragraph" w:styleId="CommentText">
    <w:name w:val="annotation text"/>
    <w:basedOn w:val="Normal"/>
    <w:link w:val="CommentTextChar"/>
    <w:semiHidden/>
    <w:unhideWhenUsed/>
    <w:rsid w:val="007B79D6"/>
    <w:pPr>
      <w:spacing w:line="240" w:lineRule="auto"/>
    </w:pPr>
    <w:rPr>
      <w:sz w:val="20"/>
    </w:rPr>
  </w:style>
  <w:style w:type="character" w:customStyle="1" w:styleId="CommentTextChar">
    <w:name w:val="Comment Text Char"/>
    <w:basedOn w:val="DefaultParagraphFont"/>
    <w:link w:val="CommentText"/>
    <w:semiHidden/>
    <w:rsid w:val="007B79D6"/>
    <w:rPr>
      <w:rFonts w:ascii="Aptos" w:hAnsi="Aptos"/>
      <w:sz w:val="20"/>
      <w:szCs w:val="20"/>
      <w:lang w:val="en-GB"/>
    </w:rPr>
  </w:style>
  <w:style w:type="paragraph" w:styleId="CommentSubject">
    <w:name w:val="annotation subject"/>
    <w:basedOn w:val="CommentText"/>
    <w:next w:val="CommentText"/>
    <w:link w:val="CommentSubjectChar"/>
    <w:semiHidden/>
    <w:unhideWhenUsed/>
    <w:rsid w:val="007B79D6"/>
    <w:rPr>
      <w:b/>
      <w:bCs/>
    </w:rPr>
  </w:style>
  <w:style w:type="character" w:customStyle="1" w:styleId="CommentSubjectChar">
    <w:name w:val="Comment Subject Char"/>
    <w:basedOn w:val="CommentTextChar"/>
    <w:link w:val="CommentSubject"/>
    <w:semiHidden/>
    <w:rsid w:val="007B79D6"/>
    <w:rPr>
      <w:rFonts w:ascii="Aptos" w:hAnsi="Aptos"/>
      <w:b/>
      <w:bCs/>
      <w:sz w:val="20"/>
      <w:szCs w:val="20"/>
      <w:lang w:val="en-GB"/>
    </w:rPr>
  </w:style>
  <w:style w:type="paragraph" w:styleId="Revision">
    <w:name w:val="Revision"/>
    <w:hidden/>
    <w:semiHidden/>
    <w:rsid w:val="00A725E2"/>
    <w:pPr>
      <w:spacing w:before="0" w:after="0" w:line="240" w:lineRule="auto"/>
    </w:pPr>
    <w:rPr>
      <w:rFonts w:ascii="Aptos" w:hAnsi="Apto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10">
      <w:bodyDiv w:val="1"/>
      <w:marLeft w:val="0"/>
      <w:marRight w:val="0"/>
      <w:marTop w:val="0"/>
      <w:marBottom w:val="0"/>
      <w:divBdr>
        <w:top w:val="none" w:sz="0" w:space="0" w:color="auto"/>
        <w:left w:val="none" w:sz="0" w:space="0" w:color="auto"/>
        <w:bottom w:val="none" w:sz="0" w:space="0" w:color="auto"/>
        <w:right w:val="none" w:sz="0" w:space="0" w:color="auto"/>
      </w:divBdr>
    </w:div>
    <w:div w:id="156849394">
      <w:bodyDiv w:val="1"/>
      <w:marLeft w:val="0"/>
      <w:marRight w:val="0"/>
      <w:marTop w:val="0"/>
      <w:marBottom w:val="0"/>
      <w:divBdr>
        <w:top w:val="none" w:sz="0" w:space="0" w:color="auto"/>
        <w:left w:val="none" w:sz="0" w:space="0" w:color="auto"/>
        <w:bottom w:val="none" w:sz="0" w:space="0" w:color="auto"/>
        <w:right w:val="none" w:sz="0" w:space="0" w:color="auto"/>
      </w:divBdr>
    </w:div>
    <w:div w:id="169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084772">
          <w:marLeft w:val="0"/>
          <w:marRight w:val="0"/>
          <w:marTop w:val="0"/>
          <w:marBottom w:val="0"/>
          <w:divBdr>
            <w:top w:val="none" w:sz="0" w:space="0" w:color="auto"/>
            <w:left w:val="none" w:sz="0" w:space="0" w:color="auto"/>
            <w:bottom w:val="none" w:sz="0" w:space="0" w:color="auto"/>
            <w:right w:val="none" w:sz="0" w:space="0" w:color="auto"/>
          </w:divBdr>
        </w:div>
        <w:div w:id="364673265">
          <w:marLeft w:val="0"/>
          <w:marRight w:val="0"/>
          <w:marTop w:val="0"/>
          <w:marBottom w:val="0"/>
          <w:divBdr>
            <w:top w:val="none" w:sz="0" w:space="0" w:color="auto"/>
            <w:left w:val="none" w:sz="0" w:space="0" w:color="auto"/>
            <w:bottom w:val="none" w:sz="0" w:space="0" w:color="auto"/>
            <w:right w:val="none" w:sz="0" w:space="0" w:color="auto"/>
          </w:divBdr>
        </w:div>
        <w:div w:id="734620180">
          <w:marLeft w:val="0"/>
          <w:marRight w:val="0"/>
          <w:marTop w:val="0"/>
          <w:marBottom w:val="0"/>
          <w:divBdr>
            <w:top w:val="none" w:sz="0" w:space="0" w:color="auto"/>
            <w:left w:val="none" w:sz="0" w:space="0" w:color="auto"/>
            <w:bottom w:val="none" w:sz="0" w:space="0" w:color="auto"/>
            <w:right w:val="none" w:sz="0" w:space="0" w:color="auto"/>
          </w:divBdr>
        </w:div>
        <w:div w:id="738139774">
          <w:marLeft w:val="0"/>
          <w:marRight w:val="0"/>
          <w:marTop w:val="0"/>
          <w:marBottom w:val="0"/>
          <w:divBdr>
            <w:top w:val="none" w:sz="0" w:space="0" w:color="auto"/>
            <w:left w:val="none" w:sz="0" w:space="0" w:color="auto"/>
            <w:bottom w:val="none" w:sz="0" w:space="0" w:color="auto"/>
            <w:right w:val="none" w:sz="0" w:space="0" w:color="auto"/>
          </w:divBdr>
        </w:div>
        <w:div w:id="836581919">
          <w:marLeft w:val="0"/>
          <w:marRight w:val="0"/>
          <w:marTop w:val="0"/>
          <w:marBottom w:val="0"/>
          <w:divBdr>
            <w:top w:val="none" w:sz="0" w:space="0" w:color="auto"/>
            <w:left w:val="none" w:sz="0" w:space="0" w:color="auto"/>
            <w:bottom w:val="none" w:sz="0" w:space="0" w:color="auto"/>
            <w:right w:val="none" w:sz="0" w:space="0" w:color="auto"/>
          </w:divBdr>
        </w:div>
        <w:div w:id="953095158">
          <w:marLeft w:val="0"/>
          <w:marRight w:val="0"/>
          <w:marTop w:val="0"/>
          <w:marBottom w:val="0"/>
          <w:divBdr>
            <w:top w:val="none" w:sz="0" w:space="0" w:color="auto"/>
            <w:left w:val="none" w:sz="0" w:space="0" w:color="auto"/>
            <w:bottom w:val="none" w:sz="0" w:space="0" w:color="auto"/>
            <w:right w:val="none" w:sz="0" w:space="0" w:color="auto"/>
          </w:divBdr>
        </w:div>
        <w:div w:id="957876291">
          <w:marLeft w:val="0"/>
          <w:marRight w:val="0"/>
          <w:marTop w:val="0"/>
          <w:marBottom w:val="0"/>
          <w:divBdr>
            <w:top w:val="none" w:sz="0" w:space="0" w:color="auto"/>
            <w:left w:val="none" w:sz="0" w:space="0" w:color="auto"/>
            <w:bottom w:val="none" w:sz="0" w:space="0" w:color="auto"/>
            <w:right w:val="none" w:sz="0" w:space="0" w:color="auto"/>
          </w:divBdr>
        </w:div>
        <w:div w:id="1180655648">
          <w:marLeft w:val="0"/>
          <w:marRight w:val="0"/>
          <w:marTop w:val="0"/>
          <w:marBottom w:val="0"/>
          <w:divBdr>
            <w:top w:val="none" w:sz="0" w:space="0" w:color="auto"/>
            <w:left w:val="none" w:sz="0" w:space="0" w:color="auto"/>
            <w:bottom w:val="none" w:sz="0" w:space="0" w:color="auto"/>
            <w:right w:val="none" w:sz="0" w:space="0" w:color="auto"/>
          </w:divBdr>
        </w:div>
        <w:div w:id="1185366617">
          <w:marLeft w:val="0"/>
          <w:marRight w:val="0"/>
          <w:marTop w:val="0"/>
          <w:marBottom w:val="0"/>
          <w:divBdr>
            <w:top w:val="none" w:sz="0" w:space="0" w:color="auto"/>
            <w:left w:val="none" w:sz="0" w:space="0" w:color="auto"/>
            <w:bottom w:val="none" w:sz="0" w:space="0" w:color="auto"/>
            <w:right w:val="none" w:sz="0" w:space="0" w:color="auto"/>
          </w:divBdr>
        </w:div>
        <w:div w:id="1191065849">
          <w:marLeft w:val="0"/>
          <w:marRight w:val="0"/>
          <w:marTop w:val="0"/>
          <w:marBottom w:val="0"/>
          <w:divBdr>
            <w:top w:val="none" w:sz="0" w:space="0" w:color="auto"/>
            <w:left w:val="none" w:sz="0" w:space="0" w:color="auto"/>
            <w:bottom w:val="none" w:sz="0" w:space="0" w:color="auto"/>
            <w:right w:val="none" w:sz="0" w:space="0" w:color="auto"/>
          </w:divBdr>
        </w:div>
        <w:div w:id="1250894647">
          <w:marLeft w:val="0"/>
          <w:marRight w:val="0"/>
          <w:marTop w:val="0"/>
          <w:marBottom w:val="0"/>
          <w:divBdr>
            <w:top w:val="none" w:sz="0" w:space="0" w:color="auto"/>
            <w:left w:val="none" w:sz="0" w:space="0" w:color="auto"/>
            <w:bottom w:val="none" w:sz="0" w:space="0" w:color="auto"/>
            <w:right w:val="none" w:sz="0" w:space="0" w:color="auto"/>
          </w:divBdr>
        </w:div>
        <w:div w:id="1286354083">
          <w:marLeft w:val="0"/>
          <w:marRight w:val="0"/>
          <w:marTop w:val="0"/>
          <w:marBottom w:val="0"/>
          <w:divBdr>
            <w:top w:val="none" w:sz="0" w:space="0" w:color="auto"/>
            <w:left w:val="none" w:sz="0" w:space="0" w:color="auto"/>
            <w:bottom w:val="none" w:sz="0" w:space="0" w:color="auto"/>
            <w:right w:val="none" w:sz="0" w:space="0" w:color="auto"/>
          </w:divBdr>
        </w:div>
        <w:div w:id="1315526927">
          <w:marLeft w:val="0"/>
          <w:marRight w:val="0"/>
          <w:marTop w:val="0"/>
          <w:marBottom w:val="0"/>
          <w:divBdr>
            <w:top w:val="none" w:sz="0" w:space="0" w:color="auto"/>
            <w:left w:val="none" w:sz="0" w:space="0" w:color="auto"/>
            <w:bottom w:val="none" w:sz="0" w:space="0" w:color="auto"/>
            <w:right w:val="none" w:sz="0" w:space="0" w:color="auto"/>
          </w:divBdr>
        </w:div>
        <w:div w:id="1349017432">
          <w:marLeft w:val="0"/>
          <w:marRight w:val="0"/>
          <w:marTop w:val="0"/>
          <w:marBottom w:val="0"/>
          <w:divBdr>
            <w:top w:val="none" w:sz="0" w:space="0" w:color="auto"/>
            <w:left w:val="none" w:sz="0" w:space="0" w:color="auto"/>
            <w:bottom w:val="none" w:sz="0" w:space="0" w:color="auto"/>
            <w:right w:val="none" w:sz="0" w:space="0" w:color="auto"/>
          </w:divBdr>
        </w:div>
        <w:div w:id="1667243350">
          <w:marLeft w:val="0"/>
          <w:marRight w:val="0"/>
          <w:marTop w:val="0"/>
          <w:marBottom w:val="0"/>
          <w:divBdr>
            <w:top w:val="none" w:sz="0" w:space="0" w:color="auto"/>
            <w:left w:val="none" w:sz="0" w:space="0" w:color="auto"/>
            <w:bottom w:val="none" w:sz="0" w:space="0" w:color="auto"/>
            <w:right w:val="none" w:sz="0" w:space="0" w:color="auto"/>
          </w:divBdr>
        </w:div>
        <w:div w:id="1680693996">
          <w:marLeft w:val="0"/>
          <w:marRight w:val="0"/>
          <w:marTop w:val="0"/>
          <w:marBottom w:val="0"/>
          <w:divBdr>
            <w:top w:val="none" w:sz="0" w:space="0" w:color="auto"/>
            <w:left w:val="none" w:sz="0" w:space="0" w:color="auto"/>
            <w:bottom w:val="none" w:sz="0" w:space="0" w:color="auto"/>
            <w:right w:val="none" w:sz="0" w:space="0" w:color="auto"/>
          </w:divBdr>
        </w:div>
        <w:div w:id="1702971472">
          <w:marLeft w:val="0"/>
          <w:marRight w:val="0"/>
          <w:marTop w:val="0"/>
          <w:marBottom w:val="0"/>
          <w:divBdr>
            <w:top w:val="none" w:sz="0" w:space="0" w:color="auto"/>
            <w:left w:val="none" w:sz="0" w:space="0" w:color="auto"/>
            <w:bottom w:val="none" w:sz="0" w:space="0" w:color="auto"/>
            <w:right w:val="none" w:sz="0" w:space="0" w:color="auto"/>
          </w:divBdr>
        </w:div>
        <w:div w:id="1904372181">
          <w:marLeft w:val="0"/>
          <w:marRight w:val="0"/>
          <w:marTop w:val="0"/>
          <w:marBottom w:val="0"/>
          <w:divBdr>
            <w:top w:val="none" w:sz="0" w:space="0" w:color="auto"/>
            <w:left w:val="none" w:sz="0" w:space="0" w:color="auto"/>
            <w:bottom w:val="none" w:sz="0" w:space="0" w:color="auto"/>
            <w:right w:val="none" w:sz="0" w:space="0" w:color="auto"/>
          </w:divBdr>
        </w:div>
        <w:div w:id="1939829887">
          <w:marLeft w:val="0"/>
          <w:marRight w:val="0"/>
          <w:marTop w:val="0"/>
          <w:marBottom w:val="0"/>
          <w:divBdr>
            <w:top w:val="none" w:sz="0" w:space="0" w:color="auto"/>
            <w:left w:val="none" w:sz="0" w:space="0" w:color="auto"/>
            <w:bottom w:val="none" w:sz="0" w:space="0" w:color="auto"/>
            <w:right w:val="none" w:sz="0" w:space="0" w:color="auto"/>
          </w:divBdr>
        </w:div>
      </w:divsChild>
    </w:div>
    <w:div w:id="332075102">
      <w:bodyDiv w:val="1"/>
      <w:marLeft w:val="0"/>
      <w:marRight w:val="0"/>
      <w:marTop w:val="0"/>
      <w:marBottom w:val="0"/>
      <w:divBdr>
        <w:top w:val="none" w:sz="0" w:space="0" w:color="auto"/>
        <w:left w:val="none" w:sz="0" w:space="0" w:color="auto"/>
        <w:bottom w:val="none" w:sz="0" w:space="0" w:color="auto"/>
        <w:right w:val="none" w:sz="0" w:space="0" w:color="auto"/>
      </w:divBdr>
    </w:div>
    <w:div w:id="474491343">
      <w:bodyDiv w:val="1"/>
      <w:marLeft w:val="0"/>
      <w:marRight w:val="0"/>
      <w:marTop w:val="0"/>
      <w:marBottom w:val="0"/>
      <w:divBdr>
        <w:top w:val="none" w:sz="0" w:space="0" w:color="auto"/>
        <w:left w:val="none" w:sz="0" w:space="0" w:color="auto"/>
        <w:bottom w:val="none" w:sz="0" w:space="0" w:color="auto"/>
        <w:right w:val="none" w:sz="0" w:space="0" w:color="auto"/>
      </w:divBdr>
    </w:div>
    <w:div w:id="482698642">
      <w:bodyDiv w:val="1"/>
      <w:marLeft w:val="0"/>
      <w:marRight w:val="0"/>
      <w:marTop w:val="0"/>
      <w:marBottom w:val="0"/>
      <w:divBdr>
        <w:top w:val="none" w:sz="0" w:space="0" w:color="auto"/>
        <w:left w:val="none" w:sz="0" w:space="0" w:color="auto"/>
        <w:bottom w:val="none" w:sz="0" w:space="0" w:color="auto"/>
        <w:right w:val="none" w:sz="0" w:space="0" w:color="auto"/>
      </w:divBdr>
    </w:div>
    <w:div w:id="525218677">
      <w:bodyDiv w:val="1"/>
      <w:marLeft w:val="0"/>
      <w:marRight w:val="0"/>
      <w:marTop w:val="0"/>
      <w:marBottom w:val="0"/>
      <w:divBdr>
        <w:top w:val="none" w:sz="0" w:space="0" w:color="auto"/>
        <w:left w:val="none" w:sz="0" w:space="0" w:color="auto"/>
        <w:bottom w:val="none" w:sz="0" w:space="0" w:color="auto"/>
        <w:right w:val="none" w:sz="0" w:space="0" w:color="auto"/>
      </w:divBdr>
    </w:div>
    <w:div w:id="715739800">
      <w:bodyDiv w:val="1"/>
      <w:marLeft w:val="0"/>
      <w:marRight w:val="0"/>
      <w:marTop w:val="0"/>
      <w:marBottom w:val="0"/>
      <w:divBdr>
        <w:top w:val="none" w:sz="0" w:space="0" w:color="auto"/>
        <w:left w:val="none" w:sz="0" w:space="0" w:color="auto"/>
        <w:bottom w:val="none" w:sz="0" w:space="0" w:color="auto"/>
        <w:right w:val="none" w:sz="0" w:space="0" w:color="auto"/>
      </w:divBdr>
      <w:divsChild>
        <w:div w:id="50810260">
          <w:marLeft w:val="0"/>
          <w:marRight w:val="0"/>
          <w:marTop w:val="0"/>
          <w:marBottom w:val="0"/>
          <w:divBdr>
            <w:top w:val="none" w:sz="0" w:space="0" w:color="auto"/>
            <w:left w:val="none" w:sz="0" w:space="0" w:color="auto"/>
            <w:bottom w:val="none" w:sz="0" w:space="0" w:color="auto"/>
            <w:right w:val="none" w:sz="0" w:space="0" w:color="auto"/>
          </w:divBdr>
        </w:div>
        <w:div w:id="252787764">
          <w:marLeft w:val="0"/>
          <w:marRight w:val="0"/>
          <w:marTop w:val="0"/>
          <w:marBottom w:val="0"/>
          <w:divBdr>
            <w:top w:val="none" w:sz="0" w:space="0" w:color="auto"/>
            <w:left w:val="none" w:sz="0" w:space="0" w:color="auto"/>
            <w:bottom w:val="none" w:sz="0" w:space="0" w:color="auto"/>
            <w:right w:val="none" w:sz="0" w:space="0" w:color="auto"/>
          </w:divBdr>
        </w:div>
        <w:div w:id="355081885">
          <w:marLeft w:val="0"/>
          <w:marRight w:val="0"/>
          <w:marTop w:val="0"/>
          <w:marBottom w:val="0"/>
          <w:divBdr>
            <w:top w:val="none" w:sz="0" w:space="0" w:color="auto"/>
            <w:left w:val="none" w:sz="0" w:space="0" w:color="auto"/>
            <w:bottom w:val="none" w:sz="0" w:space="0" w:color="auto"/>
            <w:right w:val="none" w:sz="0" w:space="0" w:color="auto"/>
          </w:divBdr>
        </w:div>
        <w:div w:id="421685469">
          <w:marLeft w:val="0"/>
          <w:marRight w:val="0"/>
          <w:marTop w:val="0"/>
          <w:marBottom w:val="0"/>
          <w:divBdr>
            <w:top w:val="none" w:sz="0" w:space="0" w:color="auto"/>
            <w:left w:val="none" w:sz="0" w:space="0" w:color="auto"/>
            <w:bottom w:val="none" w:sz="0" w:space="0" w:color="auto"/>
            <w:right w:val="none" w:sz="0" w:space="0" w:color="auto"/>
          </w:divBdr>
        </w:div>
        <w:div w:id="478766155">
          <w:marLeft w:val="0"/>
          <w:marRight w:val="0"/>
          <w:marTop w:val="0"/>
          <w:marBottom w:val="0"/>
          <w:divBdr>
            <w:top w:val="none" w:sz="0" w:space="0" w:color="auto"/>
            <w:left w:val="none" w:sz="0" w:space="0" w:color="auto"/>
            <w:bottom w:val="none" w:sz="0" w:space="0" w:color="auto"/>
            <w:right w:val="none" w:sz="0" w:space="0" w:color="auto"/>
          </w:divBdr>
        </w:div>
        <w:div w:id="664479373">
          <w:marLeft w:val="0"/>
          <w:marRight w:val="0"/>
          <w:marTop w:val="0"/>
          <w:marBottom w:val="0"/>
          <w:divBdr>
            <w:top w:val="none" w:sz="0" w:space="0" w:color="auto"/>
            <w:left w:val="none" w:sz="0" w:space="0" w:color="auto"/>
            <w:bottom w:val="none" w:sz="0" w:space="0" w:color="auto"/>
            <w:right w:val="none" w:sz="0" w:space="0" w:color="auto"/>
          </w:divBdr>
        </w:div>
        <w:div w:id="676268097">
          <w:marLeft w:val="0"/>
          <w:marRight w:val="0"/>
          <w:marTop w:val="0"/>
          <w:marBottom w:val="0"/>
          <w:divBdr>
            <w:top w:val="none" w:sz="0" w:space="0" w:color="auto"/>
            <w:left w:val="none" w:sz="0" w:space="0" w:color="auto"/>
            <w:bottom w:val="none" w:sz="0" w:space="0" w:color="auto"/>
            <w:right w:val="none" w:sz="0" w:space="0" w:color="auto"/>
          </w:divBdr>
        </w:div>
        <w:div w:id="850605229">
          <w:marLeft w:val="0"/>
          <w:marRight w:val="0"/>
          <w:marTop w:val="0"/>
          <w:marBottom w:val="0"/>
          <w:divBdr>
            <w:top w:val="none" w:sz="0" w:space="0" w:color="auto"/>
            <w:left w:val="none" w:sz="0" w:space="0" w:color="auto"/>
            <w:bottom w:val="none" w:sz="0" w:space="0" w:color="auto"/>
            <w:right w:val="none" w:sz="0" w:space="0" w:color="auto"/>
          </w:divBdr>
        </w:div>
        <w:div w:id="867450087">
          <w:marLeft w:val="0"/>
          <w:marRight w:val="0"/>
          <w:marTop w:val="0"/>
          <w:marBottom w:val="0"/>
          <w:divBdr>
            <w:top w:val="none" w:sz="0" w:space="0" w:color="auto"/>
            <w:left w:val="none" w:sz="0" w:space="0" w:color="auto"/>
            <w:bottom w:val="none" w:sz="0" w:space="0" w:color="auto"/>
            <w:right w:val="none" w:sz="0" w:space="0" w:color="auto"/>
          </w:divBdr>
        </w:div>
        <w:div w:id="1100830200">
          <w:marLeft w:val="0"/>
          <w:marRight w:val="0"/>
          <w:marTop w:val="0"/>
          <w:marBottom w:val="0"/>
          <w:divBdr>
            <w:top w:val="none" w:sz="0" w:space="0" w:color="auto"/>
            <w:left w:val="none" w:sz="0" w:space="0" w:color="auto"/>
            <w:bottom w:val="none" w:sz="0" w:space="0" w:color="auto"/>
            <w:right w:val="none" w:sz="0" w:space="0" w:color="auto"/>
          </w:divBdr>
        </w:div>
        <w:div w:id="1292513007">
          <w:marLeft w:val="0"/>
          <w:marRight w:val="0"/>
          <w:marTop w:val="0"/>
          <w:marBottom w:val="0"/>
          <w:divBdr>
            <w:top w:val="none" w:sz="0" w:space="0" w:color="auto"/>
            <w:left w:val="none" w:sz="0" w:space="0" w:color="auto"/>
            <w:bottom w:val="none" w:sz="0" w:space="0" w:color="auto"/>
            <w:right w:val="none" w:sz="0" w:space="0" w:color="auto"/>
          </w:divBdr>
        </w:div>
        <w:div w:id="1479151802">
          <w:marLeft w:val="0"/>
          <w:marRight w:val="0"/>
          <w:marTop w:val="0"/>
          <w:marBottom w:val="0"/>
          <w:divBdr>
            <w:top w:val="none" w:sz="0" w:space="0" w:color="auto"/>
            <w:left w:val="none" w:sz="0" w:space="0" w:color="auto"/>
            <w:bottom w:val="none" w:sz="0" w:space="0" w:color="auto"/>
            <w:right w:val="none" w:sz="0" w:space="0" w:color="auto"/>
          </w:divBdr>
        </w:div>
        <w:div w:id="1601336441">
          <w:marLeft w:val="0"/>
          <w:marRight w:val="0"/>
          <w:marTop w:val="0"/>
          <w:marBottom w:val="0"/>
          <w:divBdr>
            <w:top w:val="none" w:sz="0" w:space="0" w:color="auto"/>
            <w:left w:val="none" w:sz="0" w:space="0" w:color="auto"/>
            <w:bottom w:val="none" w:sz="0" w:space="0" w:color="auto"/>
            <w:right w:val="none" w:sz="0" w:space="0" w:color="auto"/>
          </w:divBdr>
        </w:div>
        <w:div w:id="1816294151">
          <w:marLeft w:val="0"/>
          <w:marRight w:val="0"/>
          <w:marTop w:val="0"/>
          <w:marBottom w:val="0"/>
          <w:divBdr>
            <w:top w:val="none" w:sz="0" w:space="0" w:color="auto"/>
            <w:left w:val="none" w:sz="0" w:space="0" w:color="auto"/>
            <w:bottom w:val="none" w:sz="0" w:space="0" w:color="auto"/>
            <w:right w:val="none" w:sz="0" w:space="0" w:color="auto"/>
          </w:divBdr>
        </w:div>
        <w:div w:id="1878466456">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 w:id="2009213375">
          <w:marLeft w:val="0"/>
          <w:marRight w:val="0"/>
          <w:marTop w:val="0"/>
          <w:marBottom w:val="0"/>
          <w:divBdr>
            <w:top w:val="none" w:sz="0" w:space="0" w:color="auto"/>
            <w:left w:val="none" w:sz="0" w:space="0" w:color="auto"/>
            <w:bottom w:val="none" w:sz="0" w:space="0" w:color="auto"/>
            <w:right w:val="none" w:sz="0" w:space="0" w:color="auto"/>
          </w:divBdr>
        </w:div>
        <w:div w:id="2049605429">
          <w:marLeft w:val="0"/>
          <w:marRight w:val="0"/>
          <w:marTop w:val="0"/>
          <w:marBottom w:val="0"/>
          <w:divBdr>
            <w:top w:val="none" w:sz="0" w:space="0" w:color="auto"/>
            <w:left w:val="none" w:sz="0" w:space="0" w:color="auto"/>
            <w:bottom w:val="none" w:sz="0" w:space="0" w:color="auto"/>
            <w:right w:val="none" w:sz="0" w:space="0" w:color="auto"/>
          </w:divBdr>
        </w:div>
        <w:div w:id="2080518178">
          <w:marLeft w:val="0"/>
          <w:marRight w:val="0"/>
          <w:marTop w:val="0"/>
          <w:marBottom w:val="0"/>
          <w:divBdr>
            <w:top w:val="none" w:sz="0" w:space="0" w:color="auto"/>
            <w:left w:val="none" w:sz="0" w:space="0" w:color="auto"/>
            <w:bottom w:val="none" w:sz="0" w:space="0" w:color="auto"/>
            <w:right w:val="none" w:sz="0" w:space="0" w:color="auto"/>
          </w:divBdr>
        </w:div>
      </w:divsChild>
    </w:div>
    <w:div w:id="863324767">
      <w:bodyDiv w:val="1"/>
      <w:marLeft w:val="0"/>
      <w:marRight w:val="0"/>
      <w:marTop w:val="0"/>
      <w:marBottom w:val="0"/>
      <w:divBdr>
        <w:top w:val="none" w:sz="0" w:space="0" w:color="auto"/>
        <w:left w:val="none" w:sz="0" w:space="0" w:color="auto"/>
        <w:bottom w:val="none" w:sz="0" w:space="0" w:color="auto"/>
        <w:right w:val="none" w:sz="0" w:space="0" w:color="auto"/>
      </w:divBdr>
      <w:divsChild>
        <w:div w:id="99108360">
          <w:marLeft w:val="0"/>
          <w:marRight w:val="0"/>
          <w:marTop w:val="0"/>
          <w:marBottom w:val="0"/>
          <w:divBdr>
            <w:top w:val="none" w:sz="0" w:space="0" w:color="auto"/>
            <w:left w:val="none" w:sz="0" w:space="0" w:color="auto"/>
            <w:bottom w:val="none" w:sz="0" w:space="0" w:color="auto"/>
            <w:right w:val="none" w:sz="0" w:space="0" w:color="auto"/>
          </w:divBdr>
        </w:div>
      </w:divsChild>
    </w:div>
    <w:div w:id="888883786">
      <w:bodyDiv w:val="1"/>
      <w:marLeft w:val="0"/>
      <w:marRight w:val="0"/>
      <w:marTop w:val="0"/>
      <w:marBottom w:val="0"/>
      <w:divBdr>
        <w:top w:val="none" w:sz="0" w:space="0" w:color="auto"/>
        <w:left w:val="none" w:sz="0" w:space="0" w:color="auto"/>
        <w:bottom w:val="none" w:sz="0" w:space="0" w:color="auto"/>
        <w:right w:val="none" w:sz="0" w:space="0" w:color="auto"/>
      </w:divBdr>
    </w:div>
    <w:div w:id="978847280">
      <w:bodyDiv w:val="1"/>
      <w:marLeft w:val="0"/>
      <w:marRight w:val="0"/>
      <w:marTop w:val="0"/>
      <w:marBottom w:val="0"/>
      <w:divBdr>
        <w:top w:val="none" w:sz="0" w:space="0" w:color="auto"/>
        <w:left w:val="none" w:sz="0" w:space="0" w:color="auto"/>
        <w:bottom w:val="none" w:sz="0" w:space="0" w:color="auto"/>
        <w:right w:val="none" w:sz="0" w:space="0" w:color="auto"/>
      </w:divBdr>
    </w:div>
    <w:div w:id="1030255451">
      <w:bodyDiv w:val="1"/>
      <w:marLeft w:val="0"/>
      <w:marRight w:val="0"/>
      <w:marTop w:val="0"/>
      <w:marBottom w:val="0"/>
      <w:divBdr>
        <w:top w:val="none" w:sz="0" w:space="0" w:color="auto"/>
        <w:left w:val="none" w:sz="0" w:space="0" w:color="auto"/>
        <w:bottom w:val="none" w:sz="0" w:space="0" w:color="auto"/>
        <w:right w:val="none" w:sz="0" w:space="0" w:color="auto"/>
      </w:divBdr>
    </w:div>
    <w:div w:id="1371032839">
      <w:bodyDiv w:val="1"/>
      <w:marLeft w:val="0"/>
      <w:marRight w:val="0"/>
      <w:marTop w:val="0"/>
      <w:marBottom w:val="0"/>
      <w:divBdr>
        <w:top w:val="none" w:sz="0" w:space="0" w:color="auto"/>
        <w:left w:val="none" w:sz="0" w:space="0" w:color="auto"/>
        <w:bottom w:val="none" w:sz="0" w:space="0" w:color="auto"/>
        <w:right w:val="none" w:sz="0" w:space="0" w:color="auto"/>
      </w:divBdr>
    </w:div>
    <w:div w:id="1566572691">
      <w:bodyDiv w:val="1"/>
      <w:marLeft w:val="0"/>
      <w:marRight w:val="0"/>
      <w:marTop w:val="0"/>
      <w:marBottom w:val="0"/>
      <w:divBdr>
        <w:top w:val="none" w:sz="0" w:space="0" w:color="auto"/>
        <w:left w:val="none" w:sz="0" w:space="0" w:color="auto"/>
        <w:bottom w:val="none" w:sz="0" w:space="0" w:color="auto"/>
        <w:right w:val="none" w:sz="0" w:space="0" w:color="auto"/>
      </w:divBdr>
    </w:div>
    <w:div w:id="1676104387">
      <w:bodyDiv w:val="1"/>
      <w:marLeft w:val="0"/>
      <w:marRight w:val="0"/>
      <w:marTop w:val="0"/>
      <w:marBottom w:val="0"/>
      <w:divBdr>
        <w:top w:val="none" w:sz="0" w:space="0" w:color="auto"/>
        <w:left w:val="none" w:sz="0" w:space="0" w:color="auto"/>
        <w:bottom w:val="none" w:sz="0" w:space="0" w:color="auto"/>
        <w:right w:val="none" w:sz="0" w:space="0" w:color="auto"/>
      </w:divBdr>
    </w:div>
    <w:div w:id="199171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doi.org/10.1016/j.jviromet.2004.03.015" TargetMode="External"/><Relationship Id="rId39" Type="http://schemas.openxmlformats.org/officeDocument/2006/relationships/footer" Target="footer1.xml"/><Relationship Id="rId21" Type="http://schemas.openxmlformats.org/officeDocument/2006/relationships/hyperlink" Target="https://genomicc.org/investigators/emerging_syndromes" TargetMode="External"/><Relationship Id="rId34" Type="http://schemas.openxmlformats.org/officeDocument/2006/relationships/hyperlink" Target="https://doi.org/10.1038/s41586-020-03065-y"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researchgovernance@ed.ac.uk" TargetMode="External"/><Relationship Id="rId29" Type="http://schemas.openxmlformats.org/officeDocument/2006/relationships/hyperlink" Target="https://doi.org/10.1084/jem.2005197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56/NEJMra1208623" TargetMode="External"/><Relationship Id="rId32" Type="http://schemas.openxmlformats.org/officeDocument/2006/relationships/hyperlink" Target="https://doi.org/10.1164/rccm.201511-2234OC" TargetMode="External"/><Relationship Id="rId37" Type="http://schemas.openxmlformats.org/officeDocument/2006/relationships/hyperlink" Target="http://content.nejm.org/cgi/content/abstract/318/12/727"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hse.gov.uk" TargetMode="External"/><Relationship Id="rId28" Type="http://schemas.openxmlformats.org/officeDocument/2006/relationships/hyperlink" Target="https://doi.org/10.1016/S1473-3099(13)70327-X" TargetMode="External"/><Relationship Id="rId36" Type="http://schemas.openxmlformats.org/officeDocument/2006/relationships/hyperlink" Target="https://doi.org/10.1016/S2213-2600(14)70290-5" TargetMode="External"/><Relationship Id="rId10" Type="http://schemas.openxmlformats.org/officeDocument/2006/relationships/endnotes" Target="endnotes.xml"/><Relationship Id="rId19" Type="http://schemas.openxmlformats.org/officeDocument/2006/relationships/hyperlink" Target="mailto:genomicc@roslin.ed.ac.uk" TargetMode="External"/><Relationship Id="rId31" Type="http://schemas.openxmlformats.org/officeDocument/2006/relationships/hyperlink" Target="http://www.ncbi.nlm.nih.gov/pubmed/889875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genomicc.org/investigators/participating_trials" TargetMode="External"/><Relationship Id="rId27" Type="http://schemas.openxmlformats.org/officeDocument/2006/relationships/hyperlink" Target="https://doi.org/10.1146/annurev-genom-091212-153448" TargetMode="External"/><Relationship Id="rId30" Type="http://schemas.openxmlformats.org/officeDocument/2006/relationships/hyperlink" Target="https://doi.org/10.1136/thoraxjnl-2011-200598" TargetMode="External"/><Relationship Id="rId35" Type="http://schemas.openxmlformats.org/officeDocument/2006/relationships/hyperlink" Target="https://doi.org/10.1038/s41586-023-06383-z"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126/science.1255074" TargetMode="External"/><Relationship Id="rId33" Type="http://schemas.openxmlformats.org/officeDocument/2006/relationships/hyperlink" Target="https://doi.org/10.1016/S0140-6736(09)62126-7"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bf54b9-4e2c-4097-99cd-edcb9b377872">
      <UserInfo>
        <DisplayName>rashan@nicslk.com</DisplayName>
        <AccountId>47</AccountId>
        <AccountType/>
      </UserInfo>
      <UserInfo>
        <DisplayName>BAILLIE Kenneth</DisplayName>
        <AccountId>13</AccountId>
        <AccountType/>
      </UserInfo>
      <UserInfo>
        <DisplayName>GALLAGHER Bernadette</DisplayName>
        <AccountId>21</AccountId>
        <AccountType/>
      </UserInfo>
      <UserInfo>
        <DisplayName>GENOMICC International</DisplayName>
        <AccountId>36</AccountId>
        <AccountType/>
      </UserInfo>
    </SharedWithUsers>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D3373-4DF9-4B57-819E-0D3FC433F155}">
  <ds:schemaRefs>
    <ds:schemaRef ds:uri="http://schemas.microsoft.com/office/2006/metadata/properties"/>
    <ds:schemaRef ds:uri="http://schemas.microsoft.com/office/infopath/2007/PartnerControls"/>
    <ds:schemaRef ds:uri="f9bf54b9-4e2c-4097-99cd-edcb9b377872"/>
    <ds:schemaRef ds:uri="545e2040-118e-4042-a44d-365d86320a96"/>
  </ds:schemaRefs>
</ds:datastoreItem>
</file>

<file path=customXml/itemProps2.xml><?xml version="1.0" encoding="utf-8"?>
<ds:datastoreItem xmlns:ds="http://schemas.openxmlformats.org/officeDocument/2006/customXml" ds:itemID="{A630BCF0-9456-4708-A06B-615FB3529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909B1-9BB5-B843-A8BB-787859DE5EE0}">
  <ds:schemaRefs>
    <ds:schemaRef ds:uri="http://schemas.openxmlformats.org/officeDocument/2006/bibliography"/>
  </ds:schemaRefs>
</ds:datastoreItem>
</file>

<file path=customXml/itemProps4.xml><?xml version="1.0" encoding="utf-8"?>
<ds:datastoreItem xmlns:ds="http://schemas.openxmlformats.org/officeDocument/2006/customXml" ds:itemID="{4A57A258-4F2D-4CA7-9BB8-320E8CF91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11216</Words>
  <Characters>63932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dc:description/>
  <cp:lastModifiedBy>Fiona Griffiths</cp:lastModifiedBy>
  <cp:revision>2</cp:revision>
  <dcterms:created xsi:type="dcterms:W3CDTF">2024-10-31T08:43:00Z</dcterms:created>
  <dcterms:modified xsi:type="dcterms:W3CDTF">2024-10-31T08:43:00Z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date">
    <vt:lpwstr>September 25th, 2019</vt:lpwstr>
  </property>
  <property fmtid="{D5CDD505-2E9C-101B-9397-08002B2CF9AE}" pid="15" name="eqnLabels">
    <vt:lpwstr>arabic</vt:lpwstr>
  </property>
  <property fmtid="{D5CDD505-2E9C-101B-9397-08002B2CF9AE}" pid="16" name="eqnPrefix">
    <vt:lpwstr/>
  </property>
  <property fmtid="{D5CDD505-2E9C-101B-9397-08002B2CF9AE}" pid="17" name="eqnPrefixTemplate">
    <vt:lpwstr>p i</vt:lpwstr>
  </property>
  <property fmtid="{D5CDD505-2E9C-101B-9397-08002B2CF9AE}" pid="18" name="figLabels">
    <vt:lpwstr>arabic</vt:lpwstr>
  </property>
  <property fmtid="{D5CDD505-2E9C-101B-9397-08002B2CF9AE}" pid="19" name="figPrefix">
    <vt:lpwstr/>
  </property>
  <property fmtid="{D5CDD505-2E9C-101B-9397-08002B2CF9AE}" pid="20" name="figPrefixTemplate">
    <vt:lpwstr>p i</vt:lpwstr>
  </property>
  <property fmtid="{D5CDD505-2E9C-101B-9397-08002B2CF9AE}" pid="21" name="figureTemplate">
    <vt:lpwstr>figureTitle ititleDelim t</vt:lpwstr>
  </property>
  <property fmtid="{D5CDD505-2E9C-101B-9397-08002B2CF9AE}" pid="22" name="figureTitle">
    <vt:lpwstr>Figure</vt:lpwstr>
  </property>
  <property fmtid="{D5CDD505-2E9C-101B-9397-08002B2CF9AE}" pid="23" name="lastDelim">
    <vt:lpwstr>, </vt:lpwstr>
  </property>
  <property fmtid="{D5CDD505-2E9C-101B-9397-08002B2CF9AE}" pid="24" name="linkReferences">
    <vt:lpwstr>False</vt:lpwstr>
  </property>
  <property fmtid="{D5CDD505-2E9C-101B-9397-08002B2CF9AE}" pid="25" name="listingTemplate">
    <vt:lpwstr>listingTitle ititleDelim t</vt:lpwstr>
  </property>
  <property fmtid="{D5CDD505-2E9C-101B-9397-08002B2CF9AE}" pid="26" name="listingTitle">
    <vt:lpwstr>Listing</vt:lpwstr>
  </property>
  <property fmtid="{D5CDD505-2E9C-101B-9397-08002B2CF9AE}" pid="27" name="listings">
    <vt:lpwstr>False</vt:lpwstr>
  </property>
  <property fmtid="{D5CDD505-2E9C-101B-9397-08002B2CF9AE}" pid="28" name="lofTitle">
    <vt:lpwstr>List of Figures</vt:lpwstr>
  </property>
  <property fmtid="{D5CDD505-2E9C-101B-9397-08002B2CF9AE}" pid="29" name="lolTitle">
    <vt:lpwstr>List of Listings</vt:lpwstr>
  </property>
  <property fmtid="{D5CDD505-2E9C-101B-9397-08002B2CF9AE}" pid="30" name="lotTitle">
    <vt:lpwstr>List of Tables</vt:lpwstr>
  </property>
  <property fmtid="{D5CDD505-2E9C-101B-9397-08002B2CF9AE}" pid="31" name="lstLabels">
    <vt:lpwstr>arabic</vt:lpwstr>
  </property>
  <property fmtid="{D5CDD505-2E9C-101B-9397-08002B2CF9AE}" pid="32" name="lstPrefix">
    <vt:lpwstr/>
  </property>
  <property fmtid="{D5CDD505-2E9C-101B-9397-08002B2CF9AE}" pid="33" name="lstPrefixTemplate">
    <vt:lpwstr>p i</vt:lpwstr>
  </property>
  <property fmtid="{D5CDD505-2E9C-101B-9397-08002B2CF9AE}" pid="34" name="nameInLink">
    <vt:lpwstr>False</vt:lpwstr>
  </property>
  <property fmtid="{D5CDD505-2E9C-101B-9397-08002B2CF9AE}" pid="35" name="numberSections">
    <vt:lpwstr>False</vt:lpwstr>
  </property>
  <property fmtid="{D5CDD505-2E9C-101B-9397-08002B2CF9AE}" pid="36" name="pairDelim">
    <vt:lpwstr>, </vt:lpwstr>
  </property>
  <property fmtid="{D5CDD505-2E9C-101B-9397-08002B2CF9AE}" pid="37" name="rangeDelim">
    <vt:lpwstr>-</vt:lpwstr>
  </property>
  <property fmtid="{D5CDD505-2E9C-101B-9397-08002B2CF9AE}" pid="38" name="refDelim">
    <vt:lpwstr>, </vt:lpwstr>
  </property>
  <property fmtid="{D5CDD505-2E9C-101B-9397-08002B2CF9AE}" pid="39" name="refIndexTemplate">
    <vt:lpwstr>isuf</vt:lpwstr>
  </property>
  <property fmtid="{D5CDD505-2E9C-101B-9397-08002B2CF9AE}" pid="40" name="secHeaderDelim">
    <vt:lpwstr> </vt:lpwstr>
  </property>
  <property fmtid="{D5CDD505-2E9C-101B-9397-08002B2CF9AE}" pid="41" name="secHeaderTemplate">
    <vt:lpwstr>isecHeaderDelimt</vt:lpwstr>
  </property>
  <property fmtid="{D5CDD505-2E9C-101B-9397-08002B2CF9AE}" pid="42" name="secLabels">
    <vt:lpwstr>arabic</vt:lpwstr>
  </property>
  <property fmtid="{D5CDD505-2E9C-101B-9397-08002B2CF9AE}" pid="43" name="secPrefix">
    <vt:lpwstr/>
  </property>
  <property fmtid="{D5CDD505-2E9C-101B-9397-08002B2CF9AE}" pid="44" name="secPrefixTemplate">
    <vt:lpwstr>p i</vt:lpwstr>
  </property>
  <property fmtid="{D5CDD505-2E9C-101B-9397-08002B2CF9AE}" pid="45" name="sectionsDepth">
    <vt:lpwstr>0</vt:lpwstr>
  </property>
  <property fmtid="{D5CDD505-2E9C-101B-9397-08002B2CF9AE}" pid="46" name="subfigGrid">
    <vt:lpwstr>False</vt:lpwstr>
  </property>
  <property fmtid="{D5CDD505-2E9C-101B-9397-08002B2CF9AE}" pid="47" name="subfigLabels">
    <vt:lpwstr>alpha a</vt:lpwstr>
  </property>
  <property fmtid="{D5CDD505-2E9C-101B-9397-08002B2CF9AE}" pid="48" name="subfigureChildTemplate">
    <vt:lpwstr>i</vt:lpwstr>
  </property>
  <property fmtid="{D5CDD505-2E9C-101B-9397-08002B2CF9AE}" pid="49" name="subfigureRefIndexTemplate">
    <vt:lpwstr>isuf (s)</vt:lpwstr>
  </property>
  <property fmtid="{D5CDD505-2E9C-101B-9397-08002B2CF9AE}" pid="50" name="subfigureTemplate">
    <vt:lpwstr>figureTitle ititleDelim t. ccs</vt:lpwstr>
  </property>
  <property fmtid="{D5CDD505-2E9C-101B-9397-08002B2CF9AE}" pid="51" name="tableEqns">
    <vt:lpwstr>False</vt:lpwstr>
  </property>
  <property fmtid="{D5CDD505-2E9C-101B-9397-08002B2CF9AE}" pid="52" name="tableTemplate">
    <vt:lpwstr>tableTitle ititleDelim t</vt:lpwstr>
  </property>
  <property fmtid="{D5CDD505-2E9C-101B-9397-08002B2CF9AE}" pid="53" name="tableTitle">
    <vt:lpwstr>Table</vt:lpwstr>
  </property>
  <property fmtid="{D5CDD505-2E9C-101B-9397-08002B2CF9AE}" pid="54" name="tblLabels">
    <vt:lpwstr>arabic</vt:lpwstr>
  </property>
  <property fmtid="{D5CDD505-2E9C-101B-9397-08002B2CF9AE}" pid="55" name="tblPrefix">
    <vt:lpwstr/>
  </property>
  <property fmtid="{D5CDD505-2E9C-101B-9397-08002B2CF9AE}" pid="56" name="tblPrefixTemplate">
    <vt:lpwstr>p i</vt:lpwstr>
  </property>
  <property fmtid="{D5CDD505-2E9C-101B-9397-08002B2CF9AE}" pid="57" name="titleDelim">
    <vt:lpwstr>:</vt:lpwstr>
  </property>
  <property fmtid="{D5CDD505-2E9C-101B-9397-08002B2CF9AE}" pid="58" name="ContentTypeId">
    <vt:lpwstr>0x010100093B4647C8C98D4794C110BC3F9055A3</vt:lpwstr>
  </property>
  <property fmtid="{D5CDD505-2E9C-101B-9397-08002B2CF9AE}" pid="59" name="MediaServiceImageTags">
    <vt:lpwstr/>
  </property>
</Properties>
</file>